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75" w:rsidRDefault="00441475" w:rsidP="00542B46">
      <w:pPr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color w:val="000000"/>
          <w:sz w:val="34"/>
          <w:szCs w:val="34"/>
        </w:rPr>
      </w:pPr>
      <w:r w:rsidRPr="00441475">
        <w:rPr>
          <w:rFonts w:ascii="Arial" w:hAnsi="Arial" w:cs="Arial"/>
          <w:b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17E13" wp14:editId="586E4A5D">
                <wp:simplePos x="0" y="0"/>
                <wp:positionH relativeFrom="column">
                  <wp:posOffset>830580</wp:posOffset>
                </wp:positionH>
                <wp:positionV relativeFrom="paragraph">
                  <wp:posOffset>230505</wp:posOffset>
                </wp:positionV>
                <wp:extent cx="5381625" cy="619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475" w:rsidRPr="00C06756" w:rsidRDefault="00441475" w:rsidP="00441475">
                            <w:pPr>
                              <w:autoSpaceDE w:val="0"/>
                              <w:autoSpaceDN w:val="0"/>
                              <w:adjustRightInd w:val="0"/>
                              <w:ind w:right="-3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441475"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Mississippi 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06756"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Admission Requirements</w:t>
                            </w:r>
                          </w:p>
                          <w:p w:rsidR="00441475" w:rsidRPr="00C06756" w:rsidRDefault="00441475" w:rsidP="00441475">
                            <w:pPr>
                              <w:autoSpaceDE w:val="0"/>
                              <w:autoSpaceDN w:val="0"/>
                              <w:adjustRightInd w:val="0"/>
                              <w:ind w:right="-3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Alternate Route/</w:t>
                            </w:r>
                            <w:r w:rsidRPr="00C06756"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M.ED.</w:t>
                            </w:r>
                            <w:proofErr w:type="gramEnd"/>
                            <w:r w:rsidRPr="00C06756"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 w:rsidRPr="00C06756"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in</w:t>
                            </w:r>
                            <w:proofErr w:type="gramEnd"/>
                            <w:r w:rsidRPr="00C06756"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 Teaching Arts Program</w:t>
                            </w:r>
                            <w:r w:rsidRPr="00C0675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441475" w:rsidRDefault="004414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4pt;margin-top:18.15pt;width:423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">
                <v:textbox>
                  <w:txbxContent>
                    <w:p w:rsidR="00441475" w:rsidRPr="00C06756" w:rsidRDefault="00441475" w:rsidP="00441475">
                      <w:pPr>
                        <w:autoSpaceDE w:val="0"/>
                        <w:autoSpaceDN w:val="0"/>
                        <w:adjustRightInd w:val="0"/>
                        <w:ind w:right="-36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441475"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>Mississippi College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r w:rsidRPr="00C06756"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>Admission Requirements</w:t>
                      </w:r>
                    </w:p>
                    <w:p w:rsidR="00441475" w:rsidRPr="00C06756" w:rsidRDefault="00441475" w:rsidP="00441475">
                      <w:pPr>
                        <w:autoSpaceDE w:val="0"/>
                        <w:autoSpaceDN w:val="0"/>
                        <w:adjustRightInd w:val="0"/>
                        <w:ind w:right="-36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>Alternate Route/</w:t>
                      </w:r>
                      <w:r w:rsidRPr="00C06756"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>M.ED.</w:t>
                      </w:r>
                      <w:proofErr w:type="gramEnd"/>
                      <w:r w:rsidRPr="00C06756"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proofErr w:type="gramStart"/>
                      <w:r w:rsidRPr="00C06756"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>in</w:t>
                      </w:r>
                      <w:proofErr w:type="gramEnd"/>
                      <w:r w:rsidRPr="00C06756"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 xml:space="preserve"> Teaching Arts Program</w:t>
                      </w:r>
                      <w:r w:rsidRPr="00C0675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</w:t>
                      </w:r>
                    </w:p>
                    <w:p w:rsidR="00441475" w:rsidRDefault="00441475"/>
                  </w:txbxContent>
                </v:textbox>
              </v:shape>
            </w:pict>
          </mc:Fallback>
        </mc:AlternateContent>
      </w:r>
    </w:p>
    <w:p w:rsidR="00441475" w:rsidRDefault="00441475" w:rsidP="00441475">
      <w:pPr>
        <w:autoSpaceDE w:val="0"/>
        <w:autoSpaceDN w:val="0"/>
        <w:adjustRightInd w:val="0"/>
        <w:ind w:right="-360"/>
        <w:rPr>
          <w:rFonts w:ascii="Arial" w:hAnsi="Arial" w:cs="Arial"/>
          <w:b/>
          <w:color w:val="000000"/>
          <w:sz w:val="34"/>
          <w:szCs w:val="34"/>
        </w:rPr>
      </w:pPr>
      <w:r>
        <w:rPr>
          <w:noProof/>
        </w:rPr>
        <w:drawing>
          <wp:inline distT="0" distB="0" distL="0" distR="0" wp14:anchorId="277657A2" wp14:editId="020CABBC">
            <wp:extent cx="523875" cy="666750"/>
            <wp:effectExtent l="0" t="0" r="9525" b="0"/>
            <wp:docPr id="1" name="Picture 1" descr="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20" w:rsidRDefault="00C65520" w:rsidP="00A0533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A05337" w:rsidRPr="00CD3D26" w:rsidRDefault="00A05337" w:rsidP="00A0533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D3D26">
        <w:rPr>
          <w:rFonts w:ascii="Arial" w:hAnsi="Arial" w:cs="Arial"/>
          <w:b/>
          <w:color w:val="000000"/>
        </w:rPr>
        <w:t xml:space="preserve">Requirements for </w:t>
      </w:r>
      <w:r w:rsidRPr="00CD3D26">
        <w:rPr>
          <w:rFonts w:ascii="Arial" w:hAnsi="Arial" w:cs="Arial"/>
          <w:b/>
          <w:color w:val="000000"/>
          <w:u w:val="single"/>
        </w:rPr>
        <w:t>Regular Admission:</w:t>
      </w:r>
    </w:p>
    <w:p w:rsidR="00A05337" w:rsidRPr="00CD3D26" w:rsidRDefault="00A05337" w:rsidP="00CD3D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CD3D26">
        <w:rPr>
          <w:rFonts w:ascii="Arial" w:hAnsi="Arial" w:cs="Arial"/>
          <w:b/>
          <w:color w:val="000000"/>
        </w:rPr>
        <w:t>Passing Scores on Praxis I CASE</w:t>
      </w:r>
      <w:r w:rsidR="00CD3D26">
        <w:rPr>
          <w:rFonts w:ascii="Arial" w:hAnsi="Arial" w:cs="Arial"/>
          <w:b/>
          <w:color w:val="000000"/>
        </w:rPr>
        <w:t>*</w:t>
      </w:r>
    </w:p>
    <w:p w:rsidR="00A05337" w:rsidRPr="00CD3D26" w:rsidRDefault="00A05337" w:rsidP="00CD3D2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CD3D26">
        <w:rPr>
          <w:rFonts w:ascii="Arial" w:hAnsi="Arial" w:cs="Arial"/>
          <w:b/>
          <w:color w:val="000000"/>
        </w:rPr>
        <w:t>Passing Score on Praxis II</w:t>
      </w:r>
    </w:p>
    <w:p w:rsidR="00A05337" w:rsidRPr="00CD3D26" w:rsidRDefault="00A05337" w:rsidP="00CD3D2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CD3D26">
        <w:rPr>
          <w:rFonts w:ascii="Arial" w:hAnsi="Arial" w:cs="Arial"/>
          <w:b/>
          <w:color w:val="000000"/>
        </w:rPr>
        <w:t>2.75 Undergraduate Cumulative GPA</w:t>
      </w:r>
    </w:p>
    <w:p w:rsidR="00A05337" w:rsidRPr="00CD3D26" w:rsidRDefault="00A05337" w:rsidP="00542B4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CD3D26">
        <w:rPr>
          <w:rFonts w:ascii="Arial" w:hAnsi="Arial" w:cs="Arial"/>
          <w:i/>
          <w:iCs/>
          <w:color w:val="000000"/>
          <w:sz w:val="22"/>
          <w:szCs w:val="22"/>
        </w:rPr>
        <w:t>Students will not be admitted to the program with less than a 2.75 cumulative undergraduate GPA</w:t>
      </w:r>
      <w:r w:rsidR="00CD3D26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601F7F" w:rsidRDefault="00601F7F" w:rsidP="00CD3D26">
      <w:pPr>
        <w:rPr>
          <w:rFonts w:ascii="Arial" w:hAnsi="Arial" w:cs="Arial"/>
          <w:b/>
          <w:u w:val="single"/>
        </w:rPr>
      </w:pPr>
    </w:p>
    <w:p w:rsidR="00601F7F" w:rsidRPr="00C65520" w:rsidRDefault="00601F7F" w:rsidP="00CD3D26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C65520">
        <w:rPr>
          <w:rFonts w:ascii="Arial" w:hAnsi="Arial" w:cs="Arial"/>
          <w:b/>
          <w:sz w:val="22"/>
          <w:szCs w:val="22"/>
          <w:u w:val="single"/>
        </w:rPr>
        <w:t>Provisional</w:t>
      </w:r>
    </w:p>
    <w:p w:rsidR="00CD3D26" w:rsidRPr="00C65520" w:rsidRDefault="00A05337" w:rsidP="00CD3D26">
      <w:pPr>
        <w:rPr>
          <w:rFonts w:ascii="Arial" w:hAnsi="Arial" w:cs="Arial"/>
          <w:sz w:val="22"/>
          <w:szCs w:val="22"/>
        </w:rPr>
      </w:pPr>
      <w:r w:rsidRPr="00C65520">
        <w:rPr>
          <w:rFonts w:ascii="Arial" w:hAnsi="Arial" w:cs="Arial"/>
          <w:sz w:val="22"/>
          <w:szCs w:val="22"/>
        </w:rPr>
        <w:t xml:space="preserve">If </w:t>
      </w:r>
      <w:r w:rsidR="00CD3D26" w:rsidRPr="00C65520">
        <w:rPr>
          <w:rFonts w:ascii="Arial" w:hAnsi="Arial" w:cs="Arial"/>
          <w:sz w:val="22"/>
          <w:szCs w:val="22"/>
        </w:rPr>
        <w:t>an applicant</w:t>
      </w:r>
      <w:r w:rsidRPr="00C65520">
        <w:rPr>
          <w:rFonts w:ascii="Arial" w:hAnsi="Arial" w:cs="Arial"/>
          <w:sz w:val="22"/>
          <w:szCs w:val="22"/>
        </w:rPr>
        <w:t xml:space="preserve"> do</w:t>
      </w:r>
      <w:r w:rsidR="00CD3D26" w:rsidRPr="00C65520">
        <w:rPr>
          <w:rFonts w:ascii="Arial" w:hAnsi="Arial" w:cs="Arial"/>
          <w:sz w:val="22"/>
          <w:szCs w:val="22"/>
        </w:rPr>
        <w:t>es</w:t>
      </w:r>
      <w:r w:rsidRPr="00C65520">
        <w:rPr>
          <w:rFonts w:ascii="Arial" w:hAnsi="Arial" w:cs="Arial"/>
          <w:sz w:val="22"/>
          <w:szCs w:val="22"/>
        </w:rPr>
        <w:t xml:space="preserve"> not have a passing score**</w:t>
      </w:r>
      <w:r w:rsidR="00CD3D26" w:rsidRPr="00C65520">
        <w:rPr>
          <w:rFonts w:ascii="Arial" w:hAnsi="Arial" w:cs="Arial"/>
          <w:sz w:val="22"/>
          <w:szCs w:val="22"/>
        </w:rPr>
        <w:t>*</w:t>
      </w:r>
      <w:r w:rsidRPr="00C65520">
        <w:rPr>
          <w:rFonts w:ascii="Arial" w:hAnsi="Arial" w:cs="Arial"/>
          <w:sz w:val="22"/>
          <w:szCs w:val="22"/>
        </w:rPr>
        <w:t xml:space="preserve"> on Praxis II, but meet</w:t>
      </w:r>
      <w:r w:rsidR="00CD3D26" w:rsidRPr="00C65520">
        <w:rPr>
          <w:rFonts w:ascii="Arial" w:hAnsi="Arial" w:cs="Arial"/>
          <w:sz w:val="22"/>
          <w:szCs w:val="22"/>
        </w:rPr>
        <w:t>s</w:t>
      </w:r>
      <w:r w:rsidRPr="00C65520">
        <w:rPr>
          <w:rFonts w:ascii="Arial" w:hAnsi="Arial" w:cs="Arial"/>
          <w:sz w:val="22"/>
          <w:szCs w:val="22"/>
        </w:rPr>
        <w:t xml:space="preserve"> GPA requirements and Praxis I requirement, </w:t>
      </w:r>
      <w:r w:rsidR="00CD3D26" w:rsidRPr="00C65520">
        <w:rPr>
          <w:rFonts w:ascii="Arial" w:hAnsi="Arial" w:cs="Arial"/>
          <w:sz w:val="22"/>
          <w:szCs w:val="22"/>
        </w:rPr>
        <w:t>he/she</w:t>
      </w:r>
      <w:r w:rsidRPr="00C65520">
        <w:rPr>
          <w:rFonts w:ascii="Arial" w:hAnsi="Arial" w:cs="Arial"/>
          <w:sz w:val="22"/>
          <w:szCs w:val="22"/>
        </w:rPr>
        <w:t xml:space="preserve"> may be admitted as Provisional.  Provisional admission is limited to 12 hours.  </w:t>
      </w:r>
      <w:r w:rsidR="00CD3D26" w:rsidRPr="00C65520">
        <w:rPr>
          <w:rFonts w:ascii="Arial" w:hAnsi="Arial" w:cs="Arial"/>
          <w:sz w:val="22"/>
          <w:szCs w:val="22"/>
        </w:rPr>
        <w:t>Students with this admission status are not eligible for the alternate route teaching license until all admission and course requirements are met.</w:t>
      </w:r>
    </w:p>
    <w:p w:rsidR="00601F7F" w:rsidRDefault="00601F7F" w:rsidP="002D385F">
      <w:pPr>
        <w:rPr>
          <w:rFonts w:ascii="Arial" w:hAnsi="Arial" w:cs="Arial"/>
          <w:b/>
          <w:i/>
        </w:rPr>
      </w:pPr>
    </w:p>
    <w:p w:rsidR="002D385F" w:rsidRPr="00C65520" w:rsidRDefault="00CD3D26" w:rsidP="002D385F">
      <w:pPr>
        <w:rPr>
          <w:rFonts w:ascii="Arial" w:hAnsi="Arial" w:cs="Arial"/>
          <w:b/>
          <w:i/>
          <w:sz w:val="22"/>
          <w:szCs w:val="22"/>
        </w:rPr>
      </w:pPr>
      <w:r w:rsidRPr="00C65520">
        <w:rPr>
          <w:rFonts w:ascii="Arial" w:hAnsi="Arial" w:cs="Arial"/>
          <w:b/>
          <w:i/>
          <w:sz w:val="22"/>
          <w:szCs w:val="22"/>
        </w:rPr>
        <w:t>*</w:t>
      </w:r>
      <w:r w:rsidR="00C06756" w:rsidRPr="00C65520">
        <w:rPr>
          <w:rFonts w:ascii="Arial" w:hAnsi="Arial" w:cs="Arial"/>
          <w:i/>
          <w:sz w:val="22"/>
          <w:szCs w:val="22"/>
        </w:rPr>
        <w:t>Praxis I CASE</w:t>
      </w:r>
      <w:r w:rsidR="002D385F" w:rsidRPr="00C65520">
        <w:rPr>
          <w:rFonts w:ascii="Arial" w:hAnsi="Arial" w:cs="Arial"/>
          <w:i/>
          <w:sz w:val="22"/>
          <w:szCs w:val="22"/>
        </w:rPr>
        <w:t xml:space="preserve"> Waiver:</w:t>
      </w:r>
    </w:p>
    <w:p w:rsidR="00C06756" w:rsidRPr="00C65520" w:rsidRDefault="00C06756" w:rsidP="002D385F">
      <w:p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65520">
        <w:rPr>
          <w:rFonts w:ascii="Arial" w:hAnsi="Arial" w:cs="Arial"/>
          <w:i/>
          <w:sz w:val="22"/>
          <w:szCs w:val="22"/>
        </w:rPr>
        <w:t xml:space="preserve">Students may be exempt from the Praxis I </w:t>
      </w:r>
      <w:proofErr w:type="gramStart"/>
      <w:r w:rsidRPr="00C65520">
        <w:rPr>
          <w:rFonts w:ascii="Arial" w:hAnsi="Arial" w:cs="Arial"/>
          <w:i/>
          <w:sz w:val="22"/>
          <w:szCs w:val="22"/>
        </w:rPr>
        <w:t xml:space="preserve">CASE  </w:t>
      </w:r>
      <w:r w:rsidRPr="00C65520">
        <w:rPr>
          <w:rFonts w:ascii="Arial" w:hAnsi="Arial" w:cs="Arial"/>
          <w:b/>
          <w:i/>
          <w:sz w:val="22"/>
          <w:szCs w:val="22"/>
        </w:rPr>
        <w:t>IF</w:t>
      </w:r>
      <w:proofErr w:type="gramEnd"/>
      <w:r w:rsidRPr="00C65520">
        <w:rPr>
          <w:rFonts w:ascii="Arial" w:hAnsi="Arial" w:cs="Arial"/>
          <w:i/>
          <w:sz w:val="22"/>
          <w:szCs w:val="22"/>
        </w:rPr>
        <w:t xml:space="preserve">  a student has</w:t>
      </w:r>
      <w:r w:rsidR="002D385F" w:rsidRPr="00C65520">
        <w:rPr>
          <w:rFonts w:ascii="Arial" w:hAnsi="Arial" w:cs="Arial"/>
          <w:i/>
          <w:sz w:val="22"/>
          <w:szCs w:val="22"/>
        </w:rPr>
        <w:t>:</w:t>
      </w:r>
    </w:p>
    <w:p w:rsidR="002D385F" w:rsidRPr="00C65520" w:rsidRDefault="00C06756" w:rsidP="00CD3D26">
      <w:pPr>
        <w:pStyle w:val="ListParagraph"/>
        <w:numPr>
          <w:ilvl w:val="0"/>
          <w:numId w:val="5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65520">
        <w:rPr>
          <w:rFonts w:ascii="Arial" w:hAnsi="Arial" w:cs="Arial"/>
          <w:i/>
          <w:sz w:val="22"/>
          <w:szCs w:val="22"/>
        </w:rPr>
        <w:t xml:space="preserve">High School </w:t>
      </w:r>
      <w:r w:rsidR="002D385F" w:rsidRPr="00C65520">
        <w:rPr>
          <w:rFonts w:ascii="Arial" w:hAnsi="Arial" w:cs="Arial"/>
          <w:i/>
          <w:sz w:val="22"/>
          <w:szCs w:val="22"/>
        </w:rPr>
        <w:t>ACT</w:t>
      </w:r>
      <w:r w:rsidRPr="00C65520">
        <w:rPr>
          <w:rFonts w:ascii="Arial" w:hAnsi="Arial" w:cs="Arial"/>
          <w:i/>
          <w:sz w:val="22"/>
          <w:szCs w:val="22"/>
        </w:rPr>
        <w:t xml:space="preserve"> scores</w:t>
      </w:r>
      <w:r w:rsidR="00CD3D26" w:rsidRPr="00C65520">
        <w:rPr>
          <w:rFonts w:ascii="Arial" w:hAnsi="Arial" w:cs="Arial"/>
          <w:i/>
          <w:sz w:val="22"/>
          <w:szCs w:val="22"/>
        </w:rPr>
        <w:t xml:space="preserve"> </w:t>
      </w:r>
      <w:r w:rsidRPr="00C65520">
        <w:rPr>
          <w:rFonts w:ascii="Arial" w:hAnsi="Arial" w:cs="Arial"/>
          <w:i/>
          <w:sz w:val="22"/>
          <w:szCs w:val="22"/>
        </w:rPr>
        <w:t xml:space="preserve">with a </w:t>
      </w:r>
      <w:r w:rsidR="002D385F" w:rsidRPr="00C65520">
        <w:rPr>
          <w:rFonts w:ascii="Arial" w:hAnsi="Arial" w:cs="Arial"/>
          <w:b/>
          <w:bCs/>
          <w:i/>
          <w:sz w:val="22"/>
          <w:szCs w:val="22"/>
        </w:rPr>
        <w:t>composite of at least 21 with no sub-scores below 18</w:t>
      </w:r>
      <w:r w:rsidRPr="00C65520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C65520">
        <w:rPr>
          <w:rFonts w:ascii="Arial" w:hAnsi="Arial" w:cs="Arial"/>
          <w:bCs/>
          <w:i/>
          <w:sz w:val="22"/>
          <w:szCs w:val="22"/>
        </w:rPr>
        <w:t xml:space="preserve">and </w:t>
      </w:r>
      <w:r w:rsidR="00CD3D26" w:rsidRPr="00C65520">
        <w:rPr>
          <w:rFonts w:ascii="Arial" w:hAnsi="Arial" w:cs="Arial"/>
          <w:bCs/>
          <w:i/>
          <w:sz w:val="22"/>
          <w:szCs w:val="22"/>
        </w:rPr>
        <w:t xml:space="preserve">if </w:t>
      </w:r>
      <w:r w:rsidRPr="00C65520">
        <w:rPr>
          <w:rFonts w:ascii="Arial" w:hAnsi="Arial" w:cs="Arial"/>
          <w:bCs/>
          <w:i/>
          <w:sz w:val="22"/>
          <w:szCs w:val="22"/>
        </w:rPr>
        <w:t xml:space="preserve">this score is placed on file with the </w:t>
      </w:r>
      <w:r w:rsidRPr="00C65520">
        <w:rPr>
          <w:rFonts w:ascii="Arial" w:hAnsi="Arial" w:cs="Arial"/>
          <w:i/>
          <w:sz w:val="22"/>
          <w:szCs w:val="22"/>
        </w:rPr>
        <w:t>Graduate office.</w:t>
      </w:r>
    </w:p>
    <w:p w:rsidR="001F4863" w:rsidRPr="00C65520" w:rsidRDefault="001F4863" w:rsidP="00542B46">
      <w:p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1F4863" w:rsidRPr="00C65520" w:rsidRDefault="00CD3D26" w:rsidP="00542B46">
      <w:p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C65520">
        <w:rPr>
          <w:rFonts w:ascii="Arial" w:hAnsi="Arial" w:cs="Arial"/>
          <w:b/>
          <w:i/>
          <w:color w:val="000000"/>
          <w:sz w:val="22"/>
          <w:szCs w:val="22"/>
        </w:rPr>
        <w:t>**</w:t>
      </w:r>
      <w:r w:rsidRPr="00C65520">
        <w:rPr>
          <w:rFonts w:ascii="Arial" w:hAnsi="Arial" w:cs="Arial"/>
          <w:i/>
          <w:color w:val="000000"/>
          <w:sz w:val="22"/>
          <w:szCs w:val="22"/>
        </w:rPr>
        <w:t xml:space="preserve">Praxis I </w:t>
      </w:r>
      <w:r w:rsidR="00601F7F" w:rsidRPr="00C65520">
        <w:rPr>
          <w:rFonts w:ascii="Arial" w:hAnsi="Arial" w:cs="Arial"/>
          <w:i/>
          <w:color w:val="000000"/>
          <w:sz w:val="22"/>
          <w:szCs w:val="22"/>
        </w:rPr>
        <w:t xml:space="preserve">CASE </w:t>
      </w:r>
      <w:r w:rsidRPr="00C65520">
        <w:rPr>
          <w:rFonts w:ascii="Arial" w:hAnsi="Arial" w:cs="Arial"/>
          <w:i/>
          <w:color w:val="000000"/>
          <w:sz w:val="22"/>
          <w:szCs w:val="22"/>
        </w:rPr>
        <w:t>pass</w:t>
      </w:r>
      <w:r w:rsidR="00AC3687" w:rsidRPr="00C65520">
        <w:rPr>
          <w:rFonts w:ascii="Arial" w:hAnsi="Arial" w:cs="Arial"/>
          <w:i/>
          <w:color w:val="000000"/>
          <w:sz w:val="22"/>
          <w:szCs w:val="22"/>
        </w:rPr>
        <w:t xml:space="preserve">ing scores are determined by MDE and </w:t>
      </w:r>
      <w:r w:rsidR="00601F7F" w:rsidRPr="00C65520">
        <w:rPr>
          <w:rFonts w:ascii="Arial" w:hAnsi="Arial" w:cs="Arial"/>
          <w:i/>
          <w:color w:val="000000"/>
          <w:sz w:val="22"/>
          <w:szCs w:val="22"/>
        </w:rPr>
        <w:t>are subject to</w:t>
      </w:r>
      <w:r w:rsidR="00AC3687" w:rsidRPr="00C65520">
        <w:rPr>
          <w:rFonts w:ascii="Arial" w:hAnsi="Arial" w:cs="Arial"/>
          <w:i/>
          <w:color w:val="000000"/>
          <w:sz w:val="22"/>
          <w:szCs w:val="22"/>
        </w:rPr>
        <w:t xml:space="preserve"> change. </w:t>
      </w:r>
      <w:r w:rsidR="00601F7F" w:rsidRPr="00C65520">
        <w:rPr>
          <w:rFonts w:ascii="Arial" w:hAnsi="Arial" w:cs="Arial"/>
          <w:i/>
          <w:color w:val="000000"/>
          <w:sz w:val="22"/>
          <w:szCs w:val="22"/>
        </w:rPr>
        <w:t>Currently passing scores are:</w:t>
      </w:r>
    </w:p>
    <w:p w:rsidR="00CD3D26" w:rsidRPr="00C65520" w:rsidRDefault="00CD3D26" w:rsidP="00CD3D26">
      <w:pPr>
        <w:pStyle w:val="ListParagraph"/>
        <w:numPr>
          <w:ilvl w:val="0"/>
          <w:numId w:val="5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65520">
        <w:rPr>
          <w:rFonts w:ascii="Arial" w:hAnsi="Arial" w:cs="Arial"/>
          <w:color w:val="000000"/>
          <w:sz w:val="22"/>
          <w:szCs w:val="22"/>
        </w:rPr>
        <w:t xml:space="preserve">Reading </w:t>
      </w:r>
      <w:r w:rsidR="00AC3687" w:rsidRPr="00C65520">
        <w:rPr>
          <w:rFonts w:ascii="Arial" w:hAnsi="Arial" w:cs="Arial"/>
          <w:color w:val="000000"/>
          <w:sz w:val="22"/>
          <w:szCs w:val="22"/>
        </w:rPr>
        <w:t>156</w:t>
      </w:r>
    </w:p>
    <w:p w:rsidR="00AC3687" w:rsidRPr="00C65520" w:rsidRDefault="00AC3687" w:rsidP="00CD3D26">
      <w:pPr>
        <w:pStyle w:val="ListParagraph"/>
        <w:numPr>
          <w:ilvl w:val="0"/>
          <w:numId w:val="5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65520">
        <w:rPr>
          <w:rFonts w:ascii="Arial" w:hAnsi="Arial" w:cs="Arial"/>
          <w:color w:val="000000"/>
          <w:sz w:val="22"/>
          <w:szCs w:val="22"/>
        </w:rPr>
        <w:t>Writing 162</w:t>
      </w:r>
    </w:p>
    <w:p w:rsidR="00AC3687" w:rsidRPr="00C65520" w:rsidRDefault="00AC3687" w:rsidP="00CD3D26">
      <w:pPr>
        <w:pStyle w:val="ListParagraph"/>
        <w:numPr>
          <w:ilvl w:val="0"/>
          <w:numId w:val="5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C65520">
        <w:rPr>
          <w:rFonts w:ascii="Arial" w:hAnsi="Arial" w:cs="Arial"/>
          <w:color w:val="000000"/>
          <w:sz w:val="22"/>
          <w:szCs w:val="22"/>
        </w:rPr>
        <w:t>Math 150</w:t>
      </w:r>
    </w:p>
    <w:p w:rsidR="00CD3D26" w:rsidRPr="00C65520" w:rsidRDefault="00CD3D26" w:rsidP="00542B46">
      <w:p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65520">
        <w:rPr>
          <w:rFonts w:ascii="Arial" w:hAnsi="Arial" w:cs="Arial"/>
          <w:b/>
          <w:color w:val="000000"/>
          <w:sz w:val="22"/>
          <w:szCs w:val="22"/>
        </w:rPr>
        <w:tab/>
      </w:r>
      <w:r w:rsidRPr="00C65520">
        <w:rPr>
          <w:rFonts w:ascii="Arial" w:hAnsi="Arial" w:cs="Arial"/>
          <w:b/>
          <w:color w:val="000000"/>
          <w:sz w:val="22"/>
          <w:szCs w:val="22"/>
        </w:rPr>
        <w:tab/>
      </w:r>
    </w:p>
    <w:p w:rsidR="00AC3687" w:rsidRPr="00C65520" w:rsidRDefault="00AC3687" w:rsidP="00542B46">
      <w:p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C65520">
        <w:rPr>
          <w:rFonts w:ascii="Arial" w:hAnsi="Arial" w:cs="Arial"/>
          <w:b/>
          <w:i/>
          <w:color w:val="000000"/>
          <w:sz w:val="22"/>
          <w:szCs w:val="22"/>
        </w:rPr>
        <w:t>***</w:t>
      </w:r>
      <w:r w:rsidRPr="00C65520">
        <w:rPr>
          <w:rFonts w:ascii="Arial" w:hAnsi="Arial" w:cs="Arial"/>
          <w:i/>
          <w:color w:val="000000"/>
          <w:sz w:val="22"/>
          <w:szCs w:val="22"/>
        </w:rPr>
        <w:t xml:space="preserve">Praxis II passing scores and licensure subject areas are determined by MDE.  </w:t>
      </w:r>
    </w:p>
    <w:p w:rsidR="001F4863" w:rsidRPr="00AC3687" w:rsidRDefault="00C65520" w:rsidP="00542B46">
      <w:p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AC3687" w:rsidRPr="00AC3687">
        <w:rPr>
          <w:rFonts w:ascii="Arial" w:hAnsi="Arial" w:cs="Arial"/>
          <w:color w:val="000000"/>
          <w:sz w:val="20"/>
          <w:szCs w:val="20"/>
        </w:rPr>
        <w:t xml:space="preserve">Please see the full list of approved Praxis II areas and scores at </w:t>
      </w:r>
      <w:hyperlink r:id="rId9" w:history="1">
        <w:r w:rsidR="00AC3687" w:rsidRPr="00AC3687">
          <w:rPr>
            <w:rStyle w:val="Hyperlink"/>
            <w:rFonts w:ascii="Arial" w:hAnsi="Arial" w:cs="Arial"/>
            <w:sz w:val="20"/>
            <w:szCs w:val="20"/>
          </w:rPr>
          <w:t>www.mde.k12.ms.us</w:t>
        </w:r>
      </w:hyperlink>
      <w:r w:rsidR="00AC3687" w:rsidRPr="00AC368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F4863" w:rsidRPr="00C06756" w:rsidRDefault="001F4863" w:rsidP="00542B46">
      <w:p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040DF2" w:rsidRPr="00601F7F" w:rsidRDefault="00601F7F" w:rsidP="00542B46">
      <w:p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601F7F">
        <w:rPr>
          <w:rFonts w:ascii="Arial" w:hAnsi="Arial" w:cs="Arial"/>
          <w:b/>
          <w:color w:val="000000"/>
          <w:u w:val="single"/>
        </w:rPr>
        <w:t>Requirements for 3</w:t>
      </w:r>
      <w:r>
        <w:rPr>
          <w:rFonts w:ascii="Arial" w:hAnsi="Arial" w:cs="Arial"/>
          <w:b/>
          <w:color w:val="000000"/>
          <w:u w:val="single"/>
        </w:rPr>
        <w:t>-</w:t>
      </w:r>
      <w:r w:rsidRPr="00601F7F">
        <w:rPr>
          <w:rFonts w:ascii="Arial" w:hAnsi="Arial" w:cs="Arial"/>
          <w:b/>
          <w:color w:val="000000"/>
          <w:u w:val="single"/>
        </w:rPr>
        <w:t>year non-renewable alternate route teaching license in Mississippi:</w:t>
      </w:r>
    </w:p>
    <w:p w:rsidR="00601F7F" w:rsidRDefault="00601F7F" w:rsidP="00601F7F">
      <w:pPr>
        <w:pStyle w:val="ListParagraph"/>
        <w:numPr>
          <w:ilvl w:val="0"/>
          <w:numId w:val="6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Passing Praxis I CASE scores</w:t>
      </w:r>
    </w:p>
    <w:p w:rsidR="00601F7F" w:rsidRDefault="00601F7F" w:rsidP="00601F7F">
      <w:pPr>
        <w:pStyle w:val="ListParagraph"/>
        <w:numPr>
          <w:ilvl w:val="0"/>
          <w:numId w:val="6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Passing Praxis II scores in an approved licensure area</w:t>
      </w:r>
    </w:p>
    <w:p w:rsidR="00601F7F" w:rsidRDefault="00601F7F" w:rsidP="00601F7F">
      <w:pPr>
        <w:pStyle w:val="ListParagraph"/>
        <w:numPr>
          <w:ilvl w:val="0"/>
          <w:numId w:val="6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Passing scores (A, B, or C) in EDU 6506 and EDU 6554</w:t>
      </w:r>
    </w:p>
    <w:p w:rsidR="00601F7F" w:rsidRDefault="00601F7F" w:rsidP="00601F7F">
      <w:p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1F7F" w:rsidRDefault="00601F7F" w:rsidP="00601F7F">
      <w:p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Requirements for a 5 –year renewable alternate route teaching license in Mississippi:</w:t>
      </w:r>
    </w:p>
    <w:p w:rsidR="00601F7F" w:rsidRDefault="00601F7F" w:rsidP="00601F7F">
      <w:pPr>
        <w:pStyle w:val="ListParagraph"/>
        <w:numPr>
          <w:ilvl w:val="0"/>
          <w:numId w:val="6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Passing Praxis I CASE scores</w:t>
      </w:r>
    </w:p>
    <w:p w:rsidR="00601F7F" w:rsidRDefault="00601F7F" w:rsidP="00601F7F">
      <w:pPr>
        <w:pStyle w:val="ListParagraph"/>
        <w:numPr>
          <w:ilvl w:val="0"/>
          <w:numId w:val="6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Passing Praxis II scores in an approved licensure area</w:t>
      </w:r>
    </w:p>
    <w:p w:rsidR="00601F7F" w:rsidRDefault="00601F7F" w:rsidP="00601F7F">
      <w:pPr>
        <w:pStyle w:val="ListParagraph"/>
        <w:numPr>
          <w:ilvl w:val="0"/>
          <w:numId w:val="6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Passing scores (A, B, or C) in EDU 6506 and EDU 6554</w:t>
      </w:r>
    </w:p>
    <w:p w:rsidR="00601F7F" w:rsidRDefault="00601F7F" w:rsidP="00601F7F">
      <w:pPr>
        <w:pStyle w:val="ListParagraph"/>
        <w:numPr>
          <w:ilvl w:val="0"/>
          <w:numId w:val="6"/>
        </w:numPr>
        <w:tabs>
          <w:tab w:val="left" w:pos="43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41475">
        <w:rPr>
          <w:rFonts w:ascii="Arial" w:hAnsi="Arial" w:cs="Arial"/>
          <w:color w:val="000000"/>
        </w:rPr>
        <w:t>Passing scores (A,B, or C) in EDU 6537 and EDU 6538</w:t>
      </w:r>
    </w:p>
    <w:sectPr w:rsidR="00601F7F" w:rsidSect="004414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008" w:bottom="43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27" w:rsidRDefault="007D7D27" w:rsidP="00601F7F">
      <w:r>
        <w:separator/>
      </w:r>
    </w:p>
  </w:endnote>
  <w:endnote w:type="continuationSeparator" w:id="0">
    <w:p w:rsidR="007D7D27" w:rsidRDefault="007D7D27" w:rsidP="0060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33" w:rsidRDefault="008F18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75" w:rsidRDefault="0044147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Mississippi College                                              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10-28-2014</w:t>
    </w:r>
    <w:r w:rsidR="008F1833">
      <w:rPr>
        <w:rFonts w:asciiTheme="majorHAnsi" w:eastAsiaTheme="majorEastAsia" w:hAnsiTheme="majorHAnsi" w:cstheme="majorBidi"/>
      </w:rPr>
      <w:t xml:space="preserve"> cm</w:t>
    </w:r>
  </w:p>
  <w:p w:rsidR="00601F7F" w:rsidRDefault="00601F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33" w:rsidRDefault="008F1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27" w:rsidRDefault="007D7D27" w:rsidP="00601F7F">
      <w:r>
        <w:separator/>
      </w:r>
    </w:p>
  </w:footnote>
  <w:footnote w:type="continuationSeparator" w:id="0">
    <w:p w:rsidR="007D7D27" w:rsidRDefault="007D7D27" w:rsidP="0060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33" w:rsidRDefault="008F18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33" w:rsidRDefault="008F18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33" w:rsidRDefault="008F18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CFC"/>
    <w:multiLevelType w:val="hybridMultilevel"/>
    <w:tmpl w:val="485410D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F7D0339"/>
    <w:multiLevelType w:val="hybridMultilevel"/>
    <w:tmpl w:val="AF0E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A302D"/>
    <w:multiLevelType w:val="hybridMultilevel"/>
    <w:tmpl w:val="48CE74F8"/>
    <w:lvl w:ilvl="0" w:tplc="03F080E4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3ABE4A55"/>
    <w:multiLevelType w:val="hybridMultilevel"/>
    <w:tmpl w:val="87FC3E8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5EC28B04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4BBD597B"/>
    <w:multiLevelType w:val="hybridMultilevel"/>
    <w:tmpl w:val="7288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349D0"/>
    <w:multiLevelType w:val="hybridMultilevel"/>
    <w:tmpl w:val="E6FAC82C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46"/>
    <w:rsid w:val="00040DF2"/>
    <w:rsid w:val="001F4863"/>
    <w:rsid w:val="00281734"/>
    <w:rsid w:val="002D385F"/>
    <w:rsid w:val="003839E9"/>
    <w:rsid w:val="00441475"/>
    <w:rsid w:val="00462BC5"/>
    <w:rsid w:val="00487109"/>
    <w:rsid w:val="004F408D"/>
    <w:rsid w:val="00542B46"/>
    <w:rsid w:val="0058335E"/>
    <w:rsid w:val="00601F7F"/>
    <w:rsid w:val="00623AF7"/>
    <w:rsid w:val="00646DD8"/>
    <w:rsid w:val="00680367"/>
    <w:rsid w:val="006B5126"/>
    <w:rsid w:val="007D7D27"/>
    <w:rsid w:val="00877646"/>
    <w:rsid w:val="008F1833"/>
    <w:rsid w:val="00A05337"/>
    <w:rsid w:val="00AC3687"/>
    <w:rsid w:val="00BA09AF"/>
    <w:rsid w:val="00BF2A7C"/>
    <w:rsid w:val="00C06756"/>
    <w:rsid w:val="00C65520"/>
    <w:rsid w:val="00CD3D26"/>
    <w:rsid w:val="00EE7850"/>
    <w:rsid w:val="00F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26"/>
    <w:pPr>
      <w:ind w:left="720"/>
      <w:contextualSpacing/>
    </w:pPr>
  </w:style>
  <w:style w:type="character" w:styleId="Hyperlink">
    <w:name w:val="Hyperlink"/>
    <w:basedOn w:val="DefaultParagraphFont"/>
    <w:rsid w:val="00AC36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01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F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1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F7F"/>
    <w:rPr>
      <w:sz w:val="24"/>
      <w:szCs w:val="24"/>
    </w:rPr>
  </w:style>
  <w:style w:type="paragraph" w:styleId="BalloonText">
    <w:name w:val="Balloon Text"/>
    <w:basedOn w:val="Normal"/>
    <w:link w:val="BalloonTextChar"/>
    <w:rsid w:val="00601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26"/>
    <w:pPr>
      <w:ind w:left="720"/>
      <w:contextualSpacing/>
    </w:pPr>
  </w:style>
  <w:style w:type="character" w:styleId="Hyperlink">
    <w:name w:val="Hyperlink"/>
    <w:basedOn w:val="DefaultParagraphFont"/>
    <w:rsid w:val="00AC36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01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F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1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F7F"/>
    <w:rPr>
      <w:sz w:val="24"/>
      <w:szCs w:val="24"/>
    </w:rPr>
  </w:style>
  <w:style w:type="paragraph" w:styleId="BalloonText">
    <w:name w:val="Balloon Text"/>
    <w:basedOn w:val="Normal"/>
    <w:link w:val="BalloonTextChar"/>
    <w:rsid w:val="00601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de.k12.ms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Merleen Ivey</dc:creator>
  <cp:lastModifiedBy>Windows User</cp:lastModifiedBy>
  <cp:revision>2</cp:revision>
  <cp:lastPrinted>2014-10-28T20:25:00Z</cp:lastPrinted>
  <dcterms:created xsi:type="dcterms:W3CDTF">2016-07-18T17:36:00Z</dcterms:created>
  <dcterms:modified xsi:type="dcterms:W3CDTF">2016-07-18T17:36:00Z</dcterms:modified>
</cp:coreProperties>
</file>