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0754" w:rsidRPr="00143691" w:rsidRDefault="00540754" w:rsidP="00143691">
      <w:pPr>
        <w:spacing w:after="0"/>
        <w:jc w:val="center"/>
        <w:rPr>
          <w:i/>
          <w:sz w:val="28"/>
          <w:szCs w:val="28"/>
        </w:rPr>
      </w:pPr>
      <w:r w:rsidRPr="00143691">
        <w:rPr>
          <w:i/>
          <w:sz w:val="28"/>
          <w:szCs w:val="28"/>
        </w:rPr>
        <w:t>Mississippi College</w:t>
      </w:r>
    </w:p>
    <w:p w:rsidR="00BD2CCB" w:rsidRDefault="00540754" w:rsidP="00143691">
      <w:pPr>
        <w:spacing w:after="0"/>
        <w:jc w:val="center"/>
      </w:pPr>
      <w:r>
        <w:t xml:space="preserve">Higher Education Emergency Relief Fund </w:t>
      </w:r>
      <w:r w:rsidR="00DC2A3B">
        <w:t xml:space="preserve">(HEERF) </w:t>
      </w:r>
      <w:r>
        <w:t>– Grants to Students</w:t>
      </w:r>
    </w:p>
    <w:p w:rsidR="00143691" w:rsidRDefault="00143691" w:rsidP="00143691">
      <w:pPr>
        <w:spacing w:after="0"/>
        <w:jc w:val="center"/>
      </w:pPr>
      <w:r>
        <w:t>(</w:t>
      </w:r>
      <w:r w:rsidR="005E447F">
        <w:t>Updated</w:t>
      </w:r>
      <w:r>
        <w:t xml:space="preserve"> </w:t>
      </w:r>
      <w:r w:rsidR="00CA566C">
        <w:t xml:space="preserve">Quarterly </w:t>
      </w:r>
      <w:r>
        <w:t>Fund Report)</w:t>
      </w:r>
    </w:p>
    <w:p w:rsidR="00616D56" w:rsidRDefault="009B1242" w:rsidP="00143691">
      <w:pPr>
        <w:spacing w:after="0"/>
        <w:jc w:val="center"/>
      </w:pPr>
      <w:r>
        <w:t xml:space="preserve">As of </w:t>
      </w:r>
      <w:r w:rsidR="00C23EDA">
        <w:t>September 30</w:t>
      </w:r>
      <w:r w:rsidR="00D53548">
        <w:t>, 2021</w:t>
      </w:r>
      <w:r w:rsidR="00616D56">
        <w:t xml:space="preserve"> </w:t>
      </w:r>
    </w:p>
    <w:p w:rsidR="00540754" w:rsidRDefault="00540754"/>
    <w:p w:rsidR="00143691" w:rsidRPr="00143691" w:rsidRDefault="00143691" w:rsidP="000C415B">
      <w:pPr>
        <w:jc w:val="both"/>
        <w:rPr>
          <w:b/>
          <w:i/>
        </w:rPr>
      </w:pPr>
      <w:bookmarkStart w:id="0" w:name="_Hlk68610275"/>
      <w:r w:rsidRPr="00143691">
        <w:rPr>
          <w:b/>
          <w:i/>
        </w:rPr>
        <w:t xml:space="preserve">General Information </w:t>
      </w:r>
    </w:p>
    <w:p w:rsidR="0044545F" w:rsidRDefault="00540754" w:rsidP="000C415B">
      <w:pPr>
        <w:jc w:val="both"/>
      </w:pPr>
      <w:r>
        <w:t xml:space="preserve">Mississippi College (the “Institution”) </w:t>
      </w:r>
      <w:r w:rsidRPr="00AC647B">
        <w:rPr>
          <w:b/>
        </w:rPr>
        <w:t>acknowledges that the Institution signed and returned</w:t>
      </w:r>
      <w:r>
        <w:t xml:space="preserve"> to the US Department of Education the Funding Certification and Agreement for the Higher Education Emergency Relief Fund – Emergency Financial Aid Grants to Students under the CARES Act.</w:t>
      </w:r>
      <w:r w:rsidR="0044545F">
        <w:t xml:space="preserve"> Mississippi College (the “Institution”) received revised Grant Award Notification</w:t>
      </w:r>
      <w:r w:rsidR="001D59B0">
        <w:t>s</w:t>
      </w:r>
      <w:r w:rsidR="0044545F">
        <w:t xml:space="preserve"> dated 1/27/21 </w:t>
      </w:r>
      <w:r w:rsidR="001D59B0">
        <w:t xml:space="preserve">and </w:t>
      </w:r>
      <w:r w:rsidR="007D3C2E">
        <w:t>5/16</w:t>
      </w:r>
      <w:r w:rsidR="001D59B0">
        <w:t xml:space="preserve">/2021 </w:t>
      </w:r>
      <w:r w:rsidR="0044545F">
        <w:t>from the US Department of Education increasing the amount to be awarded as Emergency Aid to Students.</w:t>
      </w:r>
      <w:r>
        <w:t xml:space="preserve">   </w:t>
      </w:r>
    </w:p>
    <w:p w:rsidR="008C70AE" w:rsidRDefault="008C70AE" w:rsidP="000C415B">
      <w:pPr>
        <w:jc w:val="both"/>
      </w:pPr>
      <w:r>
        <w:t xml:space="preserve">The </w:t>
      </w:r>
      <w:r w:rsidRPr="00AC647B">
        <w:rPr>
          <w:b/>
        </w:rPr>
        <w:t xml:space="preserve">total amount </w:t>
      </w:r>
      <w:r w:rsidR="0044545F">
        <w:rPr>
          <w:b/>
        </w:rPr>
        <w:t xml:space="preserve">originally </w:t>
      </w:r>
      <w:r w:rsidRPr="00AC647B">
        <w:rPr>
          <w:b/>
        </w:rPr>
        <w:t>allocated to the Institution</w:t>
      </w:r>
      <w:r>
        <w:t xml:space="preserve"> for the purpose of providing these Emergency Financial Aid Grants to Students </w:t>
      </w:r>
      <w:r w:rsidR="0044545F">
        <w:t xml:space="preserve">under HEERF Round I </w:t>
      </w:r>
      <w:r>
        <w:t xml:space="preserve">is $1,505,713.  The Institution received a Grant Award Notification (Notification P425E200350) from the US Department of Education dated April 27, 2020 for that amount.  </w:t>
      </w:r>
      <w:r w:rsidR="0044545F">
        <w:t>On January 27, 2021, the Institution received a revised Grant Award notification increasing the amount to $3,011,426</w:t>
      </w:r>
      <w:r w:rsidR="001D59B0">
        <w:t xml:space="preserve"> and on </w:t>
      </w:r>
      <w:r w:rsidR="007D3C2E">
        <w:t>May 16</w:t>
      </w:r>
      <w:r w:rsidR="001D59B0">
        <w:t xml:space="preserve">, 2021 the Institution received an additional Grant Award Notification increasing the amount again by $4,247,356 bringing the total to $7,258,782. </w:t>
      </w:r>
    </w:p>
    <w:p w:rsidR="0044545F" w:rsidRPr="00C23EDA" w:rsidRDefault="0044545F" w:rsidP="000C415B">
      <w:pPr>
        <w:jc w:val="both"/>
      </w:pPr>
      <w:r>
        <w:t>The Grant Award Notification states that any unliquidated grant funds from the CARES Act (HEERF Round I) may be used consistent with the provisions of the Coronavirus Response and Relief Supplemental Appropriations Act, 2021 (CRRSAA) Section 314(c)(3)</w:t>
      </w:r>
      <w:r w:rsidR="0006398D">
        <w:t xml:space="preserve"> – HEERF Round II. The information presented in this report </w:t>
      </w:r>
      <w:r w:rsidR="0006398D" w:rsidRPr="00C23EDA">
        <w:t>in the following paragraphs is the combined awards fo</w:t>
      </w:r>
      <w:r w:rsidR="001D59B0" w:rsidRPr="00C23EDA">
        <w:t>r</w:t>
      </w:r>
      <w:r w:rsidR="0006398D" w:rsidRPr="00C23EDA">
        <w:t xml:space="preserve"> the CARES Act</w:t>
      </w:r>
      <w:r w:rsidR="001D59B0" w:rsidRPr="00C23EDA">
        <w:t xml:space="preserve">, </w:t>
      </w:r>
      <w:r w:rsidR="0006398D" w:rsidRPr="00C23EDA">
        <w:t>CRRSAA</w:t>
      </w:r>
      <w:r w:rsidR="001D59B0" w:rsidRPr="00C23EDA">
        <w:t>, and ARPA</w:t>
      </w:r>
      <w:r w:rsidR="0006398D" w:rsidRPr="00C23EDA">
        <w:t xml:space="preserve">.  </w:t>
      </w:r>
      <w:r w:rsidRPr="00C23EDA">
        <w:t xml:space="preserve">  </w:t>
      </w:r>
    </w:p>
    <w:p w:rsidR="008C70AE" w:rsidRDefault="008C70AE" w:rsidP="000C415B">
      <w:pPr>
        <w:jc w:val="both"/>
      </w:pPr>
      <w:r w:rsidRPr="00C23EDA">
        <w:t xml:space="preserve">The </w:t>
      </w:r>
      <w:r w:rsidRPr="00C23EDA">
        <w:rPr>
          <w:b/>
        </w:rPr>
        <w:t>total amount of Emergency Financial Aid Grants distributed to students</w:t>
      </w:r>
      <w:r w:rsidRPr="00C23EDA">
        <w:t xml:space="preserve"> as of </w:t>
      </w:r>
      <w:r w:rsidR="00C23EDA" w:rsidRPr="00C23EDA">
        <w:t>9</w:t>
      </w:r>
      <w:r w:rsidR="00D53548" w:rsidRPr="00C23EDA">
        <w:t>/3</w:t>
      </w:r>
      <w:r w:rsidR="001D59B0" w:rsidRPr="00C23EDA">
        <w:t>0</w:t>
      </w:r>
      <w:r w:rsidR="00D53548" w:rsidRPr="00C23EDA">
        <w:t>/21</w:t>
      </w:r>
      <w:r w:rsidRPr="00C23EDA">
        <w:t xml:space="preserve"> is $</w:t>
      </w:r>
      <w:r w:rsidR="00C23EDA" w:rsidRPr="00C23EDA">
        <w:t>5,548,577</w:t>
      </w:r>
      <w:r w:rsidRPr="00C23EDA">
        <w:t>, leaving an undistributed balance of $</w:t>
      </w:r>
      <w:r w:rsidR="00C23EDA" w:rsidRPr="00C23EDA">
        <w:t>3,215,918</w:t>
      </w:r>
      <w:r w:rsidRPr="00C23EDA">
        <w:t>.</w:t>
      </w:r>
    </w:p>
    <w:p w:rsidR="00143691" w:rsidRDefault="008C70AE" w:rsidP="000C415B">
      <w:pPr>
        <w:jc w:val="both"/>
      </w:pPr>
      <w:r>
        <w:t xml:space="preserve">The </w:t>
      </w:r>
      <w:r w:rsidRPr="00AC647B">
        <w:rPr>
          <w:b/>
        </w:rPr>
        <w:t xml:space="preserve">total number of students at the Institution eligible </w:t>
      </w:r>
      <w:r>
        <w:t xml:space="preserve">to participate in programs under Section 484 in Title IV of the Higher Education Act of 1965 and thus eligible to receive </w:t>
      </w:r>
      <w:r w:rsidR="00143691">
        <w:t xml:space="preserve">Emergency Financial Aid Grants to students under Section 18004(a)(1) of the CARES Act </w:t>
      </w:r>
      <w:r w:rsidR="0006398D">
        <w:t xml:space="preserve">(HEERF Round I) </w:t>
      </w:r>
      <w:r w:rsidR="00143691">
        <w:t xml:space="preserve">is </w:t>
      </w:r>
      <w:r w:rsidR="00616D56">
        <w:t>3,407</w:t>
      </w:r>
      <w:r w:rsidR="00143691">
        <w:t>.</w:t>
      </w:r>
      <w:r w:rsidR="0006398D">
        <w:t xml:space="preserve">  Eligibility was expanded under CRRS</w:t>
      </w:r>
      <w:r w:rsidR="0006398D" w:rsidRPr="00C23EDA">
        <w:t>AA (HEERF Round II)</w:t>
      </w:r>
      <w:r w:rsidR="006446F1" w:rsidRPr="00C23EDA">
        <w:t xml:space="preserve"> and ARPAA (HEERF Round III)</w:t>
      </w:r>
      <w:r w:rsidR="0006398D" w:rsidRPr="00C23EDA">
        <w:t>, therefore the number of eligible students is now 4,</w:t>
      </w:r>
      <w:r w:rsidR="00C23EDA" w:rsidRPr="00C23EDA">
        <w:t>126</w:t>
      </w:r>
      <w:r w:rsidR="0006398D" w:rsidRPr="00C23EDA">
        <w:t>.</w:t>
      </w:r>
    </w:p>
    <w:p w:rsidR="00F575D4" w:rsidRDefault="00143691" w:rsidP="000C415B">
      <w:pPr>
        <w:jc w:val="both"/>
      </w:pPr>
      <w:r>
        <w:t xml:space="preserve">The </w:t>
      </w:r>
      <w:r w:rsidRPr="00AC647B">
        <w:rPr>
          <w:b/>
        </w:rPr>
        <w:t>total number of students who have received an Emergency Financial Aid Grant</w:t>
      </w:r>
      <w:r>
        <w:t xml:space="preserve"> as of </w:t>
      </w:r>
      <w:r w:rsidR="000C415B">
        <w:t>9</w:t>
      </w:r>
      <w:r w:rsidR="001D59B0">
        <w:t>/30/21</w:t>
      </w:r>
      <w:r>
        <w:t xml:space="preserve"> </w:t>
      </w:r>
      <w:r w:rsidR="0006398D">
        <w:t xml:space="preserve">under the CARES Act </w:t>
      </w:r>
      <w:r w:rsidR="00637AEB">
        <w:t xml:space="preserve">(HEERF Round I) </w:t>
      </w:r>
      <w:r>
        <w:t>is</w:t>
      </w:r>
      <w:r w:rsidR="00A14510">
        <w:t xml:space="preserve"> 1,</w:t>
      </w:r>
      <w:r w:rsidR="00D53548">
        <w:t>733</w:t>
      </w:r>
      <w:r>
        <w:t>.</w:t>
      </w:r>
      <w:r w:rsidR="00A14510">
        <w:t xml:space="preserve">  </w:t>
      </w:r>
      <w:r w:rsidR="00637AEB">
        <w:t xml:space="preserve">The number of unduplicated students who have received an award as of </w:t>
      </w:r>
      <w:r w:rsidR="000C415B">
        <w:t>9</w:t>
      </w:r>
      <w:r w:rsidR="00637AEB">
        <w:t>/3</w:t>
      </w:r>
      <w:r w:rsidR="006446F1">
        <w:t>0</w:t>
      </w:r>
      <w:r w:rsidR="00637AEB">
        <w:t xml:space="preserve">/21 under the CRRSAA grant (HEERF Round II) is </w:t>
      </w:r>
      <w:r w:rsidR="006446F1">
        <w:t>2</w:t>
      </w:r>
      <w:r w:rsidR="00C23EDA">
        <w:t>,</w:t>
      </w:r>
      <w:r w:rsidR="006446F1">
        <w:t>154</w:t>
      </w:r>
      <w:r w:rsidR="00F575D4">
        <w:t xml:space="preserve">. </w:t>
      </w:r>
      <w:r w:rsidR="007D3C2E">
        <w:t xml:space="preserve">The number of unduplicated students who have received an award as of </w:t>
      </w:r>
      <w:r w:rsidR="000C415B">
        <w:t>9</w:t>
      </w:r>
      <w:r w:rsidR="007D3C2E">
        <w:t xml:space="preserve">/30/21 under the </w:t>
      </w:r>
      <w:r w:rsidR="007D3C2E" w:rsidRPr="00C23EDA">
        <w:t xml:space="preserve">ARPA grant (HEERF Round III) is </w:t>
      </w:r>
      <w:r w:rsidR="00C23EDA" w:rsidRPr="00C23EDA">
        <w:t>1,866</w:t>
      </w:r>
      <w:r w:rsidR="007D3C2E" w:rsidRPr="00C23EDA">
        <w:t>.</w:t>
      </w:r>
    </w:p>
    <w:bookmarkEnd w:id="0"/>
    <w:p w:rsidR="00143691" w:rsidRPr="00143691" w:rsidRDefault="00143691" w:rsidP="000C415B">
      <w:pPr>
        <w:jc w:val="both"/>
        <w:rPr>
          <w:b/>
          <w:i/>
        </w:rPr>
      </w:pPr>
      <w:r w:rsidRPr="00143691">
        <w:rPr>
          <w:b/>
          <w:i/>
        </w:rPr>
        <w:t xml:space="preserve">Method Used to Determine Which Students Received Grant Funds  </w:t>
      </w:r>
    </w:p>
    <w:p w:rsidR="008C70AE" w:rsidRDefault="00637AEB" w:rsidP="000C415B">
      <w:pPr>
        <w:jc w:val="both"/>
      </w:pPr>
      <w:r>
        <w:t>For the distribution of funds under the CARES Act</w:t>
      </w:r>
      <w:r w:rsidR="00BA7723">
        <w:t xml:space="preserve"> (HEERF Round I)</w:t>
      </w:r>
      <w:r>
        <w:t>, t</w:t>
      </w:r>
      <w:r w:rsidR="00143691">
        <w:t xml:space="preserve">he Institution formed a Student Emergency Aid Review Committee (made up of faculty and staff) to develop a method for distribution and allocation of the Emergency Financial Aid Grants to Students.  The Committee decided to </w:t>
      </w:r>
      <w:r w:rsidR="00740D49">
        <w:t>prioritize the students with the greatest need first by allocating $1000 to each Pell-eligible student who was living on-campus during the Spring 2020 semester and $750 to each Pell-eligible student who lived off-campus during the Spring 2020 semester.  Through that allocation</w:t>
      </w:r>
      <w:r w:rsidR="001E7CB3">
        <w:t xml:space="preserve"> to the neediest of students</w:t>
      </w:r>
      <w:r w:rsidR="00740D49">
        <w:t xml:space="preserve">, the Institution awarded </w:t>
      </w:r>
      <w:r w:rsidR="001E7CB3">
        <w:t xml:space="preserve">a total of </w:t>
      </w:r>
      <w:r w:rsidR="00740D49" w:rsidRPr="00AC647B">
        <w:rPr>
          <w:b/>
        </w:rPr>
        <w:t>$1,052,</w:t>
      </w:r>
      <w:r w:rsidR="009B1242">
        <w:rPr>
          <w:b/>
        </w:rPr>
        <w:t>500</w:t>
      </w:r>
      <w:r w:rsidR="00740D49" w:rsidRPr="00AC647B">
        <w:rPr>
          <w:b/>
        </w:rPr>
        <w:t xml:space="preserve"> on 5.13.2020 to </w:t>
      </w:r>
      <w:r w:rsidR="001E7CB3" w:rsidRPr="00AC647B">
        <w:rPr>
          <w:b/>
        </w:rPr>
        <w:t>1,261 students</w:t>
      </w:r>
      <w:r w:rsidR="00740D49">
        <w:t>.</w:t>
      </w:r>
      <w:r w:rsidR="001E7CB3">
        <w:t xml:space="preserve">  </w:t>
      </w:r>
      <w:r w:rsidR="00740D49">
        <w:t xml:space="preserve">    </w:t>
      </w:r>
    </w:p>
    <w:p w:rsidR="00152F23" w:rsidRDefault="00740D49" w:rsidP="000C415B">
      <w:pPr>
        <w:jc w:val="both"/>
      </w:pPr>
      <w:r>
        <w:lastRenderedPageBreak/>
        <w:t xml:space="preserve">After the Pell-eligible students were addressed, the Committee decided to allocate the remaining funds </w:t>
      </w:r>
      <w:r w:rsidR="00637AEB">
        <w:t xml:space="preserve">(HEERF Round I) </w:t>
      </w:r>
      <w:r>
        <w:t xml:space="preserve">through an online application process.  </w:t>
      </w:r>
      <w:r w:rsidR="001E7CB3">
        <w:t>E</w:t>
      </w:r>
      <w:r>
        <w:t xml:space="preserve">ligible </w:t>
      </w:r>
      <w:r w:rsidR="001E7CB3">
        <w:t>students we</w:t>
      </w:r>
      <w:r>
        <w:t xml:space="preserve">re notified </w:t>
      </w:r>
      <w:r w:rsidR="001E7CB3">
        <w:t xml:space="preserve">of the availability of the grant funds via social media and our website and were encouraged to apply.   Using this method, the Institution has awarded (as of </w:t>
      </w:r>
      <w:r w:rsidR="000C415B">
        <w:t>9</w:t>
      </w:r>
      <w:r w:rsidR="006446F1">
        <w:t>/30</w:t>
      </w:r>
      <w:r w:rsidR="00A14510">
        <w:t>/2</w:t>
      </w:r>
      <w:r w:rsidR="00D53548">
        <w:t>1</w:t>
      </w:r>
      <w:r w:rsidR="001E7CB3">
        <w:t xml:space="preserve">) an additional </w:t>
      </w:r>
      <w:r w:rsidR="001E7CB3" w:rsidRPr="00AC647B">
        <w:rPr>
          <w:b/>
        </w:rPr>
        <w:t>$</w:t>
      </w:r>
      <w:r w:rsidR="00D53548">
        <w:rPr>
          <w:b/>
        </w:rPr>
        <w:t>453,213</w:t>
      </w:r>
      <w:r w:rsidR="001E7CB3" w:rsidRPr="00AC647B">
        <w:rPr>
          <w:b/>
        </w:rPr>
        <w:t xml:space="preserve"> to </w:t>
      </w:r>
      <w:r w:rsidR="00D53548">
        <w:rPr>
          <w:b/>
        </w:rPr>
        <w:t>472</w:t>
      </w:r>
      <w:r w:rsidR="001E7CB3" w:rsidRPr="00AC647B">
        <w:rPr>
          <w:b/>
        </w:rPr>
        <w:t xml:space="preserve"> students</w:t>
      </w:r>
      <w:r w:rsidR="001E7CB3">
        <w:t xml:space="preserve">.  This group of students received grants ranging from </w:t>
      </w:r>
      <w:r w:rsidR="00AC647B">
        <w:t xml:space="preserve">$200 to $1000 based on the amount requested on the application.  </w:t>
      </w:r>
    </w:p>
    <w:p w:rsidR="00637AEB" w:rsidRDefault="00637AEB" w:rsidP="000C415B">
      <w:pPr>
        <w:jc w:val="both"/>
      </w:pPr>
      <w:r>
        <w:t xml:space="preserve">For funds available under HEERF Round II, the Institution established an online application process that prioritized the neediest of students.  A sliding scale grid was created and funds were awarded based on </w:t>
      </w:r>
      <w:r w:rsidR="00615BEC">
        <w:t>the</w:t>
      </w:r>
      <w:r>
        <w:t xml:space="preserve"> FAFSA Estimated Family Contribution as follows:</w:t>
      </w:r>
    </w:p>
    <w:tbl>
      <w:tblPr>
        <w:tblW w:w="9650" w:type="dxa"/>
        <w:tblCellSpacing w:w="15" w:type="dxa"/>
        <w:shd w:val="clear" w:color="auto" w:fill="FFFFFF"/>
        <w:tblCellMar>
          <w:left w:w="0" w:type="dxa"/>
          <w:right w:w="0" w:type="dxa"/>
        </w:tblCellMar>
        <w:tblLook w:val="04A0" w:firstRow="1" w:lastRow="0" w:firstColumn="1" w:lastColumn="0" w:noHBand="0" w:noVBand="1"/>
      </w:tblPr>
      <w:tblGrid>
        <w:gridCol w:w="5073"/>
        <w:gridCol w:w="4577"/>
      </w:tblGrid>
      <w:tr w:rsidR="00637AEB" w:rsidRPr="00637AEB" w:rsidTr="00637AEB">
        <w:trPr>
          <w:tblCellSpacing w:w="15" w:type="dxa"/>
        </w:trPr>
        <w:tc>
          <w:tcPr>
            <w:tcW w:w="0" w:type="auto"/>
            <w:tcBorders>
              <w:top w:val="nil"/>
              <w:left w:val="nil"/>
              <w:bottom w:val="nil"/>
              <w:right w:val="single" w:sz="12" w:space="0" w:color="FFFFFF"/>
            </w:tcBorders>
            <w:shd w:val="clear" w:color="auto" w:fill="FFFFFF"/>
            <w:tcMar>
              <w:top w:w="180" w:type="dxa"/>
              <w:left w:w="210" w:type="dxa"/>
              <w:bottom w:w="180" w:type="dxa"/>
              <w:right w:w="210" w:type="dxa"/>
            </w:tcMar>
            <w:vAlign w:val="center"/>
            <w:hideMark/>
          </w:tcPr>
          <w:p w:rsidR="00637AEB" w:rsidRPr="00637AEB" w:rsidRDefault="00637AEB" w:rsidP="00637AEB">
            <w:pPr>
              <w:spacing w:after="0" w:line="360" w:lineRule="atLeast"/>
              <w:rPr>
                <w:rFonts w:ascii="inherit" w:eastAsia="Times New Roman" w:hAnsi="inherit" w:cs="Arial"/>
                <w:b/>
                <w:bCs/>
                <w:color w:val="262626"/>
                <w:spacing w:val="2"/>
              </w:rPr>
            </w:pPr>
            <w:r w:rsidRPr="00637AEB">
              <w:rPr>
                <w:rFonts w:ascii="inherit" w:eastAsia="Times New Roman" w:hAnsi="inherit" w:cs="Arial"/>
                <w:b/>
                <w:bCs/>
                <w:color w:val="262626"/>
                <w:spacing w:val="2"/>
              </w:rPr>
              <w:t>FAFSA EFC Range</w:t>
            </w:r>
          </w:p>
        </w:tc>
        <w:tc>
          <w:tcPr>
            <w:tcW w:w="0" w:type="auto"/>
            <w:tcBorders>
              <w:top w:val="nil"/>
              <w:left w:val="single" w:sz="12" w:space="0" w:color="FFFFFF"/>
              <w:bottom w:val="nil"/>
              <w:right w:val="nil"/>
            </w:tcBorders>
            <w:shd w:val="clear" w:color="auto" w:fill="FFFFFF"/>
            <w:tcMar>
              <w:top w:w="180" w:type="dxa"/>
              <w:left w:w="210" w:type="dxa"/>
              <w:bottom w:w="180" w:type="dxa"/>
              <w:right w:w="210" w:type="dxa"/>
            </w:tcMar>
            <w:vAlign w:val="center"/>
            <w:hideMark/>
          </w:tcPr>
          <w:p w:rsidR="00637AEB" w:rsidRPr="00637AEB" w:rsidRDefault="00637AEB" w:rsidP="00637AEB">
            <w:pPr>
              <w:spacing w:after="0" w:line="360" w:lineRule="atLeast"/>
              <w:rPr>
                <w:rFonts w:ascii="inherit" w:eastAsia="Times New Roman" w:hAnsi="inherit" w:cs="Arial"/>
                <w:b/>
                <w:bCs/>
                <w:color w:val="262626"/>
                <w:spacing w:val="2"/>
              </w:rPr>
            </w:pPr>
            <w:r w:rsidRPr="00637AEB">
              <w:rPr>
                <w:rFonts w:ascii="inherit" w:eastAsia="Times New Roman" w:hAnsi="inherit" w:cs="Arial"/>
                <w:b/>
                <w:bCs/>
                <w:color w:val="262626"/>
                <w:spacing w:val="2"/>
              </w:rPr>
              <w:t>Award Amount</w:t>
            </w:r>
          </w:p>
        </w:tc>
      </w:tr>
      <w:tr w:rsidR="00637AEB" w:rsidRPr="00637AEB" w:rsidTr="00637AEB">
        <w:trPr>
          <w:tblCellSpacing w:w="15" w:type="dxa"/>
        </w:trPr>
        <w:tc>
          <w:tcPr>
            <w:tcW w:w="0" w:type="auto"/>
            <w:tcBorders>
              <w:top w:val="nil"/>
              <w:left w:val="nil"/>
              <w:bottom w:val="nil"/>
              <w:right w:val="single" w:sz="12" w:space="0" w:color="FFFFFF"/>
            </w:tcBorders>
            <w:shd w:val="clear" w:color="auto" w:fill="EDF6F8"/>
            <w:tcMar>
              <w:top w:w="180" w:type="dxa"/>
              <w:left w:w="210" w:type="dxa"/>
              <w:bottom w:w="180" w:type="dxa"/>
              <w:right w:w="210" w:type="dxa"/>
            </w:tcMar>
            <w:vAlign w:val="center"/>
            <w:hideMark/>
          </w:tcPr>
          <w:p w:rsidR="00637AEB" w:rsidRPr="00637AEB" w:rsidRDefault="00637AEB" w:rsidP="00637AEB">
            <w:pPr>
              <w:spacing w:after="0" w:line="360" w:lineRule="atLeast"/>
              <w:rPr>
                <w:rFonts w:ascii="inherit" w:eastAsia="Times New Roman" w:hAnsi="inherit" w:cs="Arial"/>
                <w:color w:val="262626"/>
                <w:spacing w:val="2"/>
              </w:rPr>
            </w:pPr>
            <w:r w:rsidRPr="00637AEB">
              <w:rPr>
                <w:rFonts w:ascii="inherit" w:eastAsia="Times New Roman" w:hAnsi="inherit" w:cs="Arial"/>
                <w:color w:val="262626"/>
                <w:spacing w:val="2"/>
              </w:rPr>
              <w:t>$0 (full Pell)</w:t>
            </w:r>
          </w:p>
        </w:tc>
        <w:tc>
          <w:tcPr>
            <w:tcW w:w="0" w:type="auto"/>
            <w:tcBorders>
              <w:top w:val="nil"/>
              <w:left w:val="single" w:sz="12" w:space="0" w:color="FFFFFF"/>
              <w:bottom w:val="nil"/>
              <w:right w:val="nil"/>
            </w:tcBorders>
            <w:shd w:val="clear" w:color="auto" w:fill="EDF6F8"/>
            <w:tcMar>
              <w:top w:w="180" w:type="dxa"/>
              <w:left w:w="210" w:type="dxa"/>
              <w:bottom w:w="180" w:type="dxa"/>
              <w:right w:w="210" w:type="dxa"/>
            </w:tcMar>
            <w:vAlign w:val="center"/>
            <w:hideMark/>
          </w:tcPr>
          <w:p w:rsidR="00637AEB" w:rsidRPr="00637AEB" w:rsidRDefault="00637AEB" w:rsidP="00637AEB">
            <w:pPr>
              <w:spacing w:after="0" w:line="360" w:lineRule="atLeast"/>
              <w:rPr>
                <w:rFonts w:ascii="inherit" w:eastAsia="Times New Roman" w:hAnsi="inherit" w:cs="Arial"/>
                <w:color w:val="262626"/>
                <w:spacing w:val="2"/>
              </w:rPr>
            </w:pPr>
            <w:r w:rsidRPr="00637AEB">
              <w:rPr>
                <w:rFonts w:ascii="inherit" w:eastAsia="Times New Roman" w:hAnsi="inherit" w:cs="Arial"/>
                <w:color w:val="262626"/>
                <w:spacing w:val="2"/>
              </w:rPr>
              <w:t>$750</w:t>
            </w:r>
          </w:p>
        </w:tc>
      </w:tr>
      <w:tr w:rsidR="00637AEB" w:rsidRPr="00637AEB" w:rsidTr="00637AEB">
        <w:trPr>
          <w:tblCellSpacing w:w="15" w:type="dxa"/>
        </w:trPr>
        <w:tc>
          <w:tcPr>
            <w:tcW w:w="0" w:type="auto"/>
            <w:tcBorders>
              <w:top w:val="nil"/>
              <w:left w:val="nil"/>
              <w:bottom w:val="nil"/>
              <w:right w:val="single" w:sz="12" w:space="0" w:color="FFFFFF"/>
            </w:tcBorders>
            <w:shd w:val="clear" w:color="auto" w:fill="FFFFFF"/>
            <w:tcMar>
              <w:top w:w="180" w:type="dxa"/>
              <w:left w:w="210" w:type="dxa"/>
              <w:bottom w:w="180" w:type="dxa"/>
              <w:right w:w="210" w:type="dxa"/>
            </w:tcMar>
            <w:vAlign w:val="center"/>
            <w:hideMark/>
          </w:tcPr>
          <w:p w:rsidR="00637AEB" w:rsidRPr="00637AEB" w:rsidRDefault="00637AEB" w:rsidP="00637AEB">
            <w:pPr>
              <w:spacing w:after="0" w:line="360" w:lineRule="atLeast"/>
              <w:rPr>
                <w:rFonts w:ascii="inherit" w:eastAsia="Times New Roman" w:hAnsi="inherit" w:cs="Arial"/>
                <w:color w:val="262626"/>
                <w:spacing w:val="2"/>
              </w:rPr>
            </w:pPr>
            <w:r w:rsidRPr="00637AEB">
              <w:rPr>
                <w:rFonts w:ascii="inherit" w:eastAsia="Times New Roman" w:hAnsi="inherit" w:cs="Arial"/>
                <w:color w:val="262626"/>
                <w:spacing w:val="2"/>
              </w:rPr>
              <w:t>$1 to $5711</w:t>
            </w:r>
          </w:p>
        </w:tc>
        <w:tc>
          <w:tcPr>
            <w:tcW w:w="0" w:type="auto"/>
            <w:tcBorders>
              <w:top w:val="nil"/>
              <w:left w:val="single" w:sz="12" w:space="0" w:color="FFFFFF"/>
              <w:bottom w:val="nil"/>
              <w:right w:val="nil"/>
            </w:tcBorders>
            <w:shd w:val="clear" w:color="auto" w:fill="FFFFFF"/>
            <w:tcMar>
              <w:top w:w="180" w:type="dxa"/>
              <w:left w:w="210" w:type="dxa"/>
              <w:bottom w:w="180" w:type="dxa"/>
              <w:right w:w="210" w:type="dxa"/>
            </w:tcMar>
            <w:vAlign w:val="center"/>
            <w:hideMark/>
          </w:tcPr>
          <w:p w:rsidR="00637AEB" w:rsidRPr="00637AEB" w:rsidRDefault="00637AEB" w:rsidP="00637AEB">
            <w:pPr>
              <w:spacing w:after="0" w:line="360" w:lineRule="atLeast"/>
              <w:rPr>
                <w:rFonts w:ascii="inherit" w:eastAsia="Times New Roman" w:hAnsi="inherit" w:cs="Arial"/>
                <w:color w:val="262626"/>
                <w:spacing w:val="2"/>
              </w:rPr>
            </w:pPr>
            <w:r w:rsidRPr="00637AEB">
              <w:rPr>
                <w:rFonts w:ascii="inherit" w:eastAsia="Times New Roman" w:hAnsi="inherit" w:cs="Arial"/>
                <w:color w:val="262626"/>
                <w:spacing w:val="2"/>
              </w:rPr>
              <w:t>$600</w:t>
            </w:r>
          </w:p>
        </w:tc>
      </w:tr>
      <w:tr w:rsidR="00637AEB" w:rsidRPr="00637AEB" w:rsidTr="00637AEB">
        <w:trPr>
          <w:tblCellSpacing w:w="15" w:type="dxa"/>
        </w:trPr>
        <w:tc>
          <w:tcPr>
            <w:tcW w:w="0" w:type="auto"/>
            <w:tcBorders>
              <w:top w:val="nil"/>
              <w:left w:val="nil"/>
              <w:bottom w:val="nil"/>
              <w:right w:val="single" w:sz="12" w:space="0" w:color="FFFFFF"/>
            </w:tcBorders>
            <w:shd w:val="clear" w:color="auto" w:fill="EDF6F8"/>
            <w:tcMar>
              <w:top w:w="180" w:type="dxa"/>
              <w:left w:w="210" w:type="dxa"/>
              <w:bottom w:w="180" w:type="dxa"/>
              <w:right w:w="210" w:type="dxa"/>
            </w:tcMar>
            <w:vAlign w:val="center"/>
            <w:hideMark/>
          </w:tcPr>
          <w:p w:rsidR="00637AEB" w:rsidRPr="00637AEB" w:rsidRDefault="00637AEB" w:rsidP="00637AEB">
            <w:pPr>
              <w:spacing w:after="0" w:line="360" w:lineRule="atLeast"/>
              <w:rPr>
                <w:rFonts w:ascii="inherit" w:eastAsia="Times New Roman" w:hAnsi="inherit" w:cs="Arial"/>
                <w:color w:val="262626"/>
                <w:spacing w:val="2"/>
              </w:rPr>
            </w:pPr>
            <w:r w:rsidRPr="00637AEB">
              <w:rPr>
                <w:rFonts w:ascii="inherit" w:eastAsia="Times New Roman" w:hAnsi="inherit" w:cs="Arial"/>
                <w:color w:val="262626"/>
                <w:spacing w:val="2"/>
              </w:rPr>
              <w:t>$5712 and above</w:t>
            </w:r>
          </w:p>
        </w:tc>
        <w:tc>
          <w:tcPr>
            <w:tcW w:w="0" w:type="auto"/>
            <w:tcBorders>
              <w:top w:val="nil"/>
              <w:left w:val="single" w:sz="12" w:space="0" w:color="FFFFFF"/>
              <w:bottom w:val="nil"/>
              <w:right w:val="nil"/>
            </w:tcBorders>
            <w:shd w:val="clear" w:color="auto" w:fill="EDF6F8"/>
            <w:tcMar>
              <w:top w:w="180" w:type="dxa"/>
              <w:left w:w="210" w:type="dxa"/>
              <w:bottom w:w="180" w:type="dxa"/>
              <w:right w:w="210" w:type="dxa"/>
            </w:tcMar>
            <w:vAlign w:val="center"/>
            <w:hideMark/>
          </w:tcPr>
          <w:p w:rsidR="00637AEB" w:rsidRPr="00637AEB" w:rsidRDefault="00637AEB" w:rsidP="00637AEB">
            <w:pPr>
              <w:spacing w:after="0" w:line="360" w:lineRule="atLeast"/>
              <w:rPr>
                <w:rFonts w:ascii="inherit" w:eastAsia="Times New Roman" w:hAnsi="inherit" w:cs="Arial"/>
                <w:color w:val="262626"/>
                <w:spacing w:val="2"/>
              </w:rPr>
            </w:pPr>
            <w:r w:rsidRPr="00637AEB">
              <w:rPr>
                <w:rFonts w:ascii="inherit" w:eastAsia="Times New Roman" w:hAnsi="inherit" w:cs="Arial"/>
                <w:color w:val="262626"/>
                <w:spacing w:val="2"/>
              </w:rPr>
              <w:t>$400</w:t>
            </w:r>
          </w:p>
        </w:tc>
      </w:tr>
      <w:tr w:rsidR="00637AEB" w:rsidRPr="00637AEB" w:rsidTr="00637AEB">
        <w:trPr>
          <w:tblCellSpacing w:w="15" w:type="dxa"/>
        </w:trPr>
        <w:tc>
          <w:tcPr>
            <w:tcW w:w="0" w:type="auto"/>
            <w:tcBorders>
              <w:top w:val="nil"/>
              <w:left w:val="nil"/>
              <w:bottom w:val="nil"/>
              <w:right w:val="single" w:sz="12" w:space="0" w:color="FFFFFF"/>
            </w:tcBorders>
            <w:shd w:val="clear" w:color="auto" w:fill="FFFFFF"/>
            <w:tcMar>
              <w:top w:w="180" w:type="dxa"/>
              <w:left w:w="210" w:type="dxa"/>
              <w:bottom w:w="180" w:type="dxa"/>
              <w:right w:w="210" w:type="dxa"/>
            </w:tcMar>
            <w:vAlign w:val="center"/>
            <w:hideMark/>
          </w:tcPr>
          <w:p w:rsidR="00637AEB" w:rsidRPr="00637AEB" w:rsidRDefault="00637AEB" w:rsidP="00637AEB">
            <w:pPr>
              <w:spacing w:after="0" w:line="360" w:lineRule="atLeast"/>
              <w:rPr>
                <w:rFonts w:ascii="inherit" w:eastAsia="Times New Roman" w:hAnsi="inherit" w:cs="Arial"/>
                <w:color w:val="262626"/>
                <w:spacing w:val="2"/>
              </w:rPr>
            </w:pPr>
            <w:r w:rsidRPr="00637AEB">
              <w:rPr>
                <w:rFonts w:ascii="inherit" w:eastAsia="Times New Roman" w:hAnsi="inherit" w:cs="Arial"/>
                <w:color w:val="262626"/>
                <w:spacing w:val="2"/>
              </w:rPr>
              <w:t>No FAFSA on File</w:t>
            </w:r>
          </w:p>
        </w:tc>
        <w:tc>
          <w:tcPr>
            <w:tcW w:w="0" w:type="auto"/>
            <w:tcBorders>
              <w:top w:val="nil"/>
              <w:left w:val="single" w:sz="12" w:space="0" w:color="FFFFFF"/>
              <w:bottom w:val="nil"/>
              <w:right w:val="nil"/>
            </w:tcBorders>
            <w:shd w:val="clear" w:color="auto" w:fill="FFFFFF"/>
            <w:tcMar>
              <w:top w:w="180" w:type="dxa"/>
              <w:left w:w="210" w:type="dxa"/>
              <w:bottom w:w="180" w:type="dxa"/>
              <w:right w:w="210" w:type="dxa"/>
            </w:tcMar>
            <w:vAlign w:val="center"/>
            <w:hideMark/>
          </w:tcPr>
          <w:p w:rsidR="00637AEB" w:rsidRPr="00637AEB" w:rsidRDefault="00637AEB" w:rsidP="00637AEB">
            <w:pPr>
              <w:spacing w:after="0" w:line="360" w:lineRule="atLeast"/>
              <w:rPr>
                <w:rFonts w:ascii="inherit" w:eastAsia="Times New Roman" w:hAnsi="inherit" w:cs="Arial"/>
                <w:color w:val="262626"/>
                <w:spacing w:val="2"/>
              </w:rPr>
            </w:pPr>
            <w:r w:rsidRPr="00637AEB">
              <w:rPr>
                <w:rFonts w:ascii="inherit" w:eastAsia="Times New Roman" w:hAnsi="inherit" w:cs="Arial"/>
                <w:color w:val="262626"/>
                <w:spacing w:val="2"/>
              </w:rPr>
              <w:t>$400</w:t>
            </w:r>
          </w:p>
        </w:tc>
      </w:tr>
    </w:tbl>
    <w:p w:rsidR="007D3C2E" w:rsidRPr="000C415B" w:rsidRDefault="008957C0" w:rsidP="000C415B">
      <w:pPr>
        <w:jc w:val="both"/>
      </w:pPr>
      <w:r w:rsidRPr="000C415B">
        <w:t>The Institution has awarded a total of $</w:t>
      </w:r>
      <w:r w:rsidR="00432538" w:rsidRPr="000C415B">
        <w:t>1,505,713</w:t>
      </w:r>
      <w:r w:rsidRPr="000C415B">
        <w:t xml:space="preserve"> in HEERF Round II funds to </w:t>
      </w:r>
      <w:r w:rsidR="00432538" w:rsidRPr="000C415B">
        <w:t>2,154</w:t>
      </w:r>
      <w:r w:rsidRPr="000C415B">
        <w:t xml:space="preserve"> students as of </w:t>
      </w:r>
      <w:r w:rsidR="000C415B" w:rsidRPr="000C415B">
        <w:t>9</w:t>
      </w:r>
      <w:r w:rsidR="001D59B0" w:rsidRPr="000C415B">
        <w:t>/30/2021</w:t>
      </w:r>
      <w:r w:rsidRPr="000C415B">
        <w:t xml:space="preserve">.  </w:t>
      </w:r>
    </w:p>
    <w:p w:rsidR="000C415B" w:rsidRPr="000C415B" w:rsidRDefault="007D3C2E" w:rsidP="000C415B">
      <w:pPr>
        <w:jc w:val="both"/>
      </w:pPr>
      <w:r w:rsidRPr="000C415B">
        <w:t xml:space="preserve">For funds available under HEERF Round III, the institution established an online application process that targeted students who were previously ineligible to receive funding under the original guidance.  These students were awarded $1,000 each. </w:t>
      </w:r>
    </w:p>
    <w:p w:rsidR="000C415B" w:rsidRPr="000C415B" w:rsidRDefault="000C415B" w:rsidP="000C415B">
      <w:pPr>
        <w:jc w:val="both"/>
      </w:pPr>
      <w:r w:rsidRPr="000C415B">
        <w:t>The University then opened a new application targeted to all enrolled students, a sliding scale grid was established and funds were awarded based on the FAFSA Estimated Family Contribution as follows:</w:t>
      </w:r>
    </w:p>
    <w:tbl>
      <w:tblPr>
        <w:tblW w:w="9650" w:type="dxa"/>
        <w:tblCellSpacing w:w="15" w:type="dxa"/>
        <w:shd w:val="clear" w:color="auto" w:fill="FFFFFF"/>
        <w:tblCellMar>
          <w:left w:w="0" w:type="dxa"/>
          <w:right w:w="0" w:type="dxa"/>
        </w:tblCellMar>
        <w:tblLook w:val="04A0" w:firstRow="1" w:lastRow="0" w:firstColumn="1" w:lastColumn="0" w:noHBand="0" w:noVBand="1"/>
      </w:tblPr>
      <w:tblGrid>
        <w:gridCol w:w="5073"/>
        <w:gridCol w:w="4577"/>
      </w:tblGrid>
      <w:tr w:rsidR="000C415B" w:rsidRPr="000C415B" w:rsidTr="006A60F1">
        <w:trPr>
          <w:tblCellSpacing w:w="15" w:type="dxa"/>
        </w:trPr>
        <w:tc>
          <w:tcPr>
            <w:tcW w:w="0" w:type="auto"/>
            <w:tcBorders>
              <w:top w:val="nil"/>
              <w:left w:val="nil"/>
              <w:bottom w:val="nil"/>
              <w:right w:val="single" w:sz="12" w:space="0" w:color="FFFFFF"/>
            </w:tcBorders>
            <w:shd w:val="clear" w:color="auto" w:fill="FFFFFF"/>
            <w:tcMar>
              <w:top w:w="180" w:type="dxa"/>
              <w:left w:w="210" w:type="dxa"/>
              <w:bottom w:w="180" w:type="dxa"/>
              <w:right w:w="210" w:type="dxa"/>
            </w:tcMar>
            <w:vAlign w:val="center"/>
            <w:hideMark/>
          </w:tcPr>
          <w:p w:rsidR="000C415B" w:rsidRPr="000C415B" w:rsidRDefault="000C415B" w:rsidP="006A60F1">
            <w:pPr>
              <w:spacing w:after="0" w:line="360" w:lineRule="atLeast"/>
              <w:rPr>
                <w:rFonts w:ascii="inherit" w:eastAsia="Times New Roman" w:hAnsi="inherit" w:cs="Arial"/>
                <w:b/>
                <w:bCs/>
                <w:color w:val="262626"/>
                <w:spacing w:val="2"/>
              </w:rPr>
            </w:pPr>
            <w:r w:rsidRPr="000C415B">
              <w:rPr>
                <w:rFonts w:ascii="inherit" w:eastAsia="Times New Roman" w:hAnsi="inherit" w:cs="Arial"/>
                <w:b/>
                <w:bCs/>
                <w:color w:val="262626"/>
                <w:spacing w:val="2"/>
              </w:rPr>
              <w:t>FAFSA EFC Range</w:t>
            </w:r>
          </w:p>
        </w:tc>
        <w:tc>
          <w:tcPr>
            <w:tcW w:w="0" w:type="auto"/>
            <w:tcBorders>
              <w:top w:val="nil"/>
              <w:left w:val="single" w:sz="12" w:space="0" w:color="FFFFFF"/>
              <w:bottom w:val="nil"/>
              <w:right w:val="nil"/>
            </w:tcBorders>
            <w:shd w:val="clear" w:color="auto" w:fill="FFFFFF"/>
            <w:tcMar>
              <w:top w:w="180" w:type="dxa"/>
              <w:left w:w="210" w:type="dxa"/>
              <w:bottom w:w="180" w:type="dxa"/>
              <w:right w:w="210" w:type="dxa"/>
            </w:tcMar>
            <w:vAlign w:val="center"/>
            <w:hideMark/>
          </w:tcPr>
          <w:p w:rsidR="000C415B" w:rsidRPr="000C415B" w:rsidRDefault="000C415B" w:rsidP="006A60F1">
            <w:pPr>
              <w:spacing w:after="0" w:line="360" w:lineRule="atLeast"/>
              <w:rPr>
                <w:rFonts w:ascii="inherit" w:eastAsia="Times New Roman" w:hAnsi="inherit" w:cs="Arial"/>
                <w:b/>
                <w:bCs/>
                <w:color w:val="262626"/>
                <w:spacing w:val="2"/>
              </w:rPr>
            </w:pPr>
            <w:r w:rsidRPr="000C415B">
              <w:rPr>
                <w:rFonts w:ascii="inherit" w:eastAsia="Times New Roman" w:hAnsi="inherit" w:cs="Arial"/>
                <w:b/>
                <w:bCs/>
                <w:color w:val="262626"/>
                <w:spacing w:val="2"/>
              </w:rPr>
              <w:t>Award Amount</w:t>
            </w:r>
          </w:p>
        </w:tc>
      </w:tr>
      <w:tr w:rsidR="000C415B" w:rsidRPr="000C415B" w:rsidTr="006A60F1">
        <w:trPr>
          <w:tblCellSpacing w:w="15" w:type="dxa"/>
        </w:trPr>
        <w:tc>
          <w:tcPr>
            <w:tcW w:w="0" w:type="auto"/>
            <w:tcBorders>
              <w:top w:val="nil"/>
              <w:left w:val="nil"/>
              <w:bottom w:val="nil"/>
              <w:right w:val="single" w:sz="12" w:space="0" w:color="FFFFFF"/>
            </w:tcBorders>
            <w:shd w:val="clear" w:color="auto" w:fill="EDF6F8"/>
            <w:tcMar>
              <w:top w:w="180" w:type="dxa"/>
              <w:left w:w="210" w:type="dxa"/>
              <w:bottom w:w="180" w:type="dxa"/>
              <w:right w:w="210" w:type="dxa"/>
            </w:tcMar>
            <w:vAlign w:val="center"/>
            <w:hideMark/>
          </w:tcPr>
          <w:p w:rsidR="000C415B" w:rsidRPr="000C415B" w:rsidRDefault="000C415B" w:rsidP="006A60F1">
            <w:pPr>
              <w:spacing w:after="0" w:line="360" w:lineRule="atLeast"/>
              <w:rPr>
                <w:rFonts w:ascii="inherit" w:eastAsia="Times New Roman" w:hAnsi="inherit" w:cs="Arial"/>
                <w:color w:val="262626"/>
                <w:spacing w:val="2"/>
              </w:rPr>
            </w:pPr>
            <w:r w:rsidRPr="000C415B">
              <w:rPr>
                <w:rFonts w:ascii="inherit" w:eastAsia="Times New Roman" w:hAnsi="inherit" w:cs="Arial"/>
                <w:color w:val="262626"/>
                <w:spacing w:val="2"/>
              </w:rPr>
              <w:t>$0 (full Pell)</w:t>
            </w:r>
          </w:p>
        </w:tc>
        <w:tc>
          <w:tcPr>
            <w:tcW w:w="0" w:type="auto"/>
            <w:tcBorders>
              <w:top w:val="nil"/>
              <w:left w:val="single" w:sz="12" w:space="0" w:color="FFFFFF"/>
              <w:bottom w:val="nil"/>
              <w:right w:val="nil"/>
            </w:tcBorders>
            <w:shd w:val="clear" w:color="auto" w:fill="EDF6F8"/>
            <w:tcMar>
              <w:top w:w="180" w:type="dxa"/>
              <w:left w:w="210" w:type="dxa"/>
              <w:bottom w:w="180" w:type="dxa"/>
              <w:right w:w="210" w:type="dxa"/>
            </w:tcMar>
            <w:vAlign w:val="center"/>
            <w:hideMark/>
          </w:tcPr>
          <w:p w:rsidR="000C415B" w:rsidRPr="000C415B" w:rsidRDefault="000C415B" w:rsidP="006A60F1">
            <w:pPr>
              <w:spacing w:after="0" w:line="360" w:lineRule="atLeast"/>
              <w:rPr>
                <w:rFonts w:ascii="inherit" w:eastAsia="Times New Roman" w:hAnsi="inherit" w:cs="Arial"/>
                <w:color w:val="262626"/>
                <w:spacing w:val="2"/>
              </w:rPr>
            </w:pPr>
            <w:r w:rsidRPr="000C415B">
              <w:rPr>
                <w:rFonts w:ascii="inherit" w:eastAsia="Times New Roman" w:hAnsi="inherit" w:cs="Arial"/>
                <w:color w:val="262626"/>
                <w:spacing w:val="2"/>
              </w:rPr>
              <w:t>$7</w:t>
            </w:r>
            <w:r w:rsidRPr="000C415B">
              <w:rPr>
                <w:rFonts w:ascii="inherit" w:eastAsia="Times New Roman" w:hAnsi="inherit" w:cs="Arial"/>
                <w:color w:val="262626"/>
                <w:spacing w:val="2"/>
              </w:rPr>
              <w:t>00</w:t>
            </w:r>
          </w:p>
        </w:tc>
      </w:tr>
      <w:tr w:rsidR="000C415B" w:rsidRPr="000C415B" w:rsidTr="006A60F1">
        <w:trPr>
          <w:tblCellSpacing w:w="15" w:type="dxa"/>
        </w:trPr>
        <w:tc>
          <w:tcPr>
            <w:tcW w:w="0" w:type="auto"/>
            <w:tcBorders>
              <w:top w:val="nil"/>
              <w:left w:val="nil"/>
              <w:bottom w:val="nil"/>
              <w:right w:val="single" w:sz="12" w:space="0" w:color="FFFFFF"/>
            </w:tcBorders>
            <w:shd w:val="clear" w:color="auto" w:fill="FFFFFF"/>
            <w:tcMar>
              <w:top w:w="180" w:type="dxa"/>
              <w:left w:w="210" w:type="dxa"/>
              <w:bottom w:w="180" w:type="dxa"/>
              <w:right w:w="210" w:type="dxa"/>
            </w:tcMar>
            <w:vAlign w:val="center"/>
            <w:hideMark/>
          </w:tcPr>
          <w:p w:rsidR="000C415B" w:rsidRPr="000C415B" w:rsidRDefault="000C415B" w:rsidP="006A60F1">
            <w:pPr>
              <w:spacing w:after="0" w:line="360" w:lineRule="atLeast"/>
              <w:rPr>
                <w:rFonts w:ascii="inherit" w:eastAsia="Times New Roman" w:hAnsi="inherit" w:cs="Arial"/>
                <w:color w:val="262626"/>
                <w:spacing w:val="2"/>
              </w:rPr>
            </w:pPr>
            <w:r w:rsidRPr="000C415B">
              <w:rPr>
                <w:rFonts w:ascii="inherit" w:eastAsia="Times New Roman" w:hAnsi="inherit" w:cs="Arial"/>
                <w:color w:val="262626"/>
                <w:spacing w:val="2"/>
              </w:rPr>
              <w:t>$1 to $5711</w:t>
            </w:r>
          </w:p>
        </w:tc>
        <w:tc>
          <w:tcPr>
            <w:tcW w:w="0" w:type="auto"/>
            <w:tcBorders>
              <w:top w:val="nil"/>
              <w:left w:val="single" w:sz="12" w:space="0" w:color="FFFFFF"/>
              <w:bottom w:val="nil"/>
              <w:right w:val="nil"/>
            </w:tcBorders>
            <w:shd w:val="clear" w:color="auto" w:fill="FFFFFF"/>
            <w:tcMar>
              <w:top w:w="180" w:type="dxa"/>
              <w:left w:w="210" w:type="dxa"/>
              <w:bottom w:w="180" w:type="dxa"/>
              <w:right w:w="210" w:type="dxa"/>
            </w:tcMar>
            <w:vAlign w:val="center"/>
            <w:hideMark/>
          </w:tcPr>
          <w:p w:rsidR="000C415B" w:rsidRPr="000C415B" w:rsidRDefault="000C415B" w:rsidP="006A60F1">
            <w:pPr>
              <w:spacing w:after="0" w:line="360" w:lineRule="atLeast"/>
              <w:rPr>
                <w:rFonts w:ascii="inherit" w:eastAsia="Times New Roman" w:hAnsi="inherit" w:cs="Arial"/>
                <w:color w:val="262626"/>
                <w:spacing w:val="2"/>
              </w:rPr>
            </w:pPr>
            <w:r w:rsidRPr="000C415B">
              <w:rPr>
                <w:rFonts w:ascii="inherit" w:eastAsia="Times New Roman" w:hAnsi="inherit" w:cs="Arial"/>
                <w:color w:val="262626"/>
                <w:spacing w:val="2"/>
              </w:rPr>
              <w:t>$</w:t>
            </w:r>
            <w:r w:rsidRPr="000C415B">
              <w:rPr>
                <w:rFonts w:ascii="inherit" w:eastAsia="Times New Roman" w:hAnsi="inherit" w:cs="Arial"/>
                <w:color w:val="262626"/>
                <w:spacing w:val="2"/>
              </w:rPr>
              <w:t>550</w:t>
            </w:r>
          </w:p>
        </w:tc>
      </w:tr>
      <w:tr w:rsidR="000C415B" w:rsidRPr="000C415B" w:rsidTr="006A60F1">
        <w:trPr>
          <w:tblCellSpacing w:w="15" w:type="dxa"/>
        </w:trPr>
        <w:tc>
          <w:tcPr>
            <w:tcW w:w="0" w:type="auto"/>
            <w:tcBorders>
              <w:top w:val="nil"/>
              <w:left w:val="nil"/>
              <w:bottom w:val="nil"/>
              <w:right w:val="single" w:sz="12" w:space="0" w:color="FFFFFF"/>
            </w:tcBorders>
            <w:shd w:val="clear" w:color="auto" w:fill="EDF6F8"/>
            <w:tcMar>
              <w:top w:w="180" w:type="dxa"/>
              <w:left w:w="210" w:type="dxa"/>
              <w:bottom w:w="180" w:type="dxa"/>
              <w:right w:w="210" w:type="dxa"/>
            </w:tcMar>
            <w:vAlign w:val="center"/>
            <w:hideMark/>
          </w:tcPr>
          <w:p w:rsidR="000C415B" w:rsidRPr="000C415B" w:rsidRDefault="000C415B" w:rsidP="006A60F1">
            <w:pPr>
              <w:spacing w:after="0" w:line="360" w:lineRule="atLeast"/>
              <w:rPr>
                <w:rFonts w:ascii="inherit" w:eastAsia="Times New Roman" w:hAnsi="inherit" w:cs="Arial"/>
                <w:color w:val="262626"/>
                <w:spacing w:val="2"/>
              </w:rPr>
            </w:pPr>
            <w:r w:rsidRPr="000C415B">
              <w:rPr>
                <w:rFonts w:ascii="inherit" w:eastAsia="Times New Roman" w:hAnsi="inherit" w:cs="Arial"/>
                <w:color w:val="262626"/>
                <w:spacing w:val="2"/>
              </w:rPr>
              <w:t>$5712 and above</w:t>
            </w:r>
          </w:p>
        </w:tc>
        <w:tc>
          <w:tcPr>
            <w:tcW w:w="0" w:type="auto"/>
            <w:tcBorders>
              <w:top w:val="nil"/>
              <w:left w:val="single" w:sz="12" w:space="0" w:color="FFFFFF"/>
              <w:bottom w:val="nil"/>
              <w:right w:val="nil"/>
            </w:tcBorders>
            <w:shd w:val="clear" w:color="auto" w:fill="EDF6F8"/>
            <w:tcMar>
              <w:top w:w="180" w:type="dxa"/>
              <w:left w:w="210" w:type="dxa"/>
              <w:bottom w:w="180" w:type="dxa"/>
              <w:right w:w="210" w:type="dxa"/>
            </w:tcMar>
            <w:vAlign w:val="center"/>
            <w:hideMark/>
          </w:tcPr>
          <w:p w:rsidR="000C415B" w:rsidRPr="000C415B" w:rsidRDefault="000C415B" w:rsidP="006A60F1">
            <w:pPr>
              <w:spacing w:after="0" w:line="360" w:lineRule="atLeast"/>
              <w:rPr>
                <w:rFonts w:ascii="inherit" w:eastAsia="Times New Roman" w:hAnsi="inherit" w:cs="Arial"/>
                <w:color w:val="262626"/>
                <w:spacing w:val="2"/>
              </w:rPr>
            </w:pPr>
            <w:r w:rsidRPr="000C415B">
              <w:rPr>
                <w:rFonts w:ascii="inherit" w:eastAsia="Times New Roman" w:hAnsi="inherit" w:cs="Arial"/>
                <w:color w:val="262626"/>
                <w:spacing w:val="2"/>
              </w:rPr>
              <w:t>$</w:t>
            </w:r>
            <w:r w:rsidRPr="000C415B">
              <w:rPr>
                <w:rFonts w:ascii="inherit" w:eastAsia="Times New Roman" w:hAnsi="inherit" w:cs="Arial"/>
                <w:color w:val="262626"/>
                <w:spacing w:val="2"/>
              </w:rPr>
              <w:t>350</w:t>
            </w:r>
          </w:p>
        </w:tc>
      </w:tr>
      <w:tr w:rsidR="000C415B" w:rsidRPr="00637AEB" w:rsidTr="006A60F1">
        <w:trPr>
          <w:tblCellSpacing w:w="15" w:type="dxa"/>
        </w:trPr>
        <w:tc>
          <w:tcPr>
            <w:tcW w:w="0" w:type="auto"/>
            <w:tcBorders>
              <w:top w:val="nil"/>
              <w:left w:val="nil"/>
              <w:bottom w:val="nil"/>
              <w:right w:val="single" w:sz="12" w:space="0" w:color="FFFFFF"/>
            </w:tcBorders>
            <w:shd w:val="clear" w:color="auto" w:fill="FFFFFF"/>
            <w:tcMar>
              <w:top w:w="180" w:type="dxa"/>
              <w:left w:w="210" w:type="dxa"/>
              <w:bottom w:w="180" w:type="dxa"/>
              <w:right w:w="210" w:type="dxa"/>
            </w:tcMar>
            <w:vAlign w:val="center"/>
            <w:hideMark/>
          </w:tcPr>
          <w:p w:rsidR="000C415B" w:rsidRPr="000C415B" w:rsidRDefault="000C415B" w:rsidP="006A60F1">
            <w:pPr>
              <w:spacing w:after="0" w:line="360" w:lineRule="atLeast"/>
              <w:rPr>
                <w:rFonts w:ascii="inherit" w:eastAsia="Times New Roman" w:hAnsi="inherit" w:cs="Arial"/>
                <w:color w:val="262626"/>
                <w:spacing w:val="2"/>
              </w:rPr>
            </w:pPr>
            <w:r w:rsidRPr="000C415B">
              <w:rPr>
                <w:rFonts w:ascii="inherit" w:eastAsia="Times New Roman" w:hAnsi="inherit" w:cs="Arial"/>
                <w:color w:val="262626"/>
                <w:spacing w:val="2"/>
              </w:rPr>
              <w:t>No FAFSA on File</w:t>
            </w:r>
          </w:p>
        </w:tc>
        <w:tc>
          <w:tcPr>
            <w:tcW w:w="0" w:type="auto"/>
            <w:tcBorders>
              <w:top w:val="nil"/>
              <w:left w:val="single" w:sz="12" w:space="0" w:color="FFFFFF"/>
              <w:bottom w:val="nil"/>
              <w:right w:val="nil"/>
            </w:tcBorders>
            <w:shd w:val="clear" w:color="auto" w:fill="FFFFFF"/>
            <w:tcMar>
              <w:top w:w="180" w:type="dxa"/>
              <w:left w:w="210" w:type="dxa"/>
              <w:bottom w:w="180" w:type="dxa"/>
              <w:right w:w="210" w:type="dxa"/>
            </w:tcMar>
            <w:vAlign w:val="center"/>
            <w:hideMark/>
          </w:tcPr>
          <w:p w:rsidR="000C415B" w:rsidRPr="00637AEB" w:rsidRDefault="000C415B" w:rsidP="006A60F1">
            <w:pPr>
              <w:spacing w:after="0" w:line="360" w:lineRule="atLeast"/>
              <w:rPr>
                <w:rFonts w:ascii="inherit" w:eastAsia="Times New Roman" w:hAnsi="inherit" w:cs="Arial"/>
                <w:color w:val="262626"/>
                <w:spacing w:val="2"/>
              </w:rPr>
            </w:pPr>
            <w:r w:rsidRPr="000C415B">
              <w:rPr>
                <w:rFonts w:ascii="inherit" w:eastAsia="Times New Roman" w:hAnsi="inherit" w:cs="Arial"/>
                <w:color w:val="262626"/>
                <w:spacing w:val="2"/>
              </w:rPr>
              <w:t>$</w:t>
            </w:r>
            <w:r w:rsidRPr="000C415B">
              <w:rPr>
                <w:rFonts w:ascii="inherit" w:eastAsia="Times New Roman" w:hAnsi="inherit" w:cs="Arial"/>
                <w:color w:val="262626"/>
                <w:spacing w:val="2"/>
              </w:rPr>
              <w:t>350</w:t>
            </w:r>
          </w:p>
        </w:tc>
      </w:tr>
    </w:tbl>
    <w:p w:rsidR="000C415B" w:rsidRPr="000C415B" w:rsidRDefault="000C415B"/>
    <w:p w:rsidR="007D3C2E" w:rsidRDefault="007D3C2E" w:rsidP="000C415B">
      <w:pPr>
        <w:jc w:val="both"/>
      </w:pPr>
      <w:r w:rsidRPr="000C415B">
        <w:lastRenderedPageBreak/>
        <w:t>The institution has awarded a total of $</w:t>
      </w:r>
      <w:r w:rsidR="000C415B" w:rsidRPr="000C415B">
        <w:t>1,031,437.52</w:t>
      </w:r>
      <w:r w:rsidRPr="000C415B">
        <w:t xml:space="preserve"> in HEERF Round III funds to </w:t>
      </w:r>
      <w:r w:rsidR="000C415B" w:rsidRPr="000C415B">
        <w:t>1,866</w:t>
      </w:r>
      <w:r w:rsidRPr="000C415B">
        <w:t xml:space="preserve"> students as of</w:t>
      </w:r>
      <w:r w:rsidR="000C415B">
        <w:t xml:space="preserve"> 9</w:t>
      </w:r>
      <w:r w:rsidRPr="000C415B">
        <w:t>/30/2021.</w:t>
      </w:r>
      <w:r w:rsidR="00BA7723">
        <w:t xml:space="preserve">  </w:t>
      </w:r>
    </w:p>
    <w:p w:rsidR="00AC647B" w:rsidRDefault="00AC647B" w:rsidP="000C415B">
      <w:pPr>
        <w:jc w:val="both"/>
        <w:rPr>
          <w:b/>
          <w:i/>
        </w:rPr>
      </w:pPr>
      <w:r w:rsidRPr="00AC647B">
        <w:rPr>
          <w:b/>
          <w:i/>
        </w:rPr>
        <w:t>Communication to Students</w:t>
      </w:r>
    </w:p>
    <w:p w:rsidR="00615BEC" w:rsidRDefault="00AC647B" w:rsidP="000C415B">
      <w:pPr>
        <w:jc w:val="both"/>
      </w:pPr>
      <w:r>
        <w:t>The Institution has communicated guidance to students concerning these Emergency Financial Aid Grants in a number of ways.  Ou</w:t>
      </w:r>
      <w:r w:rsidR="00FC48E8">
        <w:t>r</w:t>
      </w:r>
      <w:r>
        <w:t xml:space="preserve"> website includes Frequently Asked Questions </w:t>
      </w:r>
      <w:r w:rsidR="00FC48E8">
        <w:t>that address the</w:t>
      </w:r>
      <w:r>
        <w:t xml:space="preserve"> availability of these funds, who is eligible and </w:t>
      </w:r>
      <w:r w:rsidR="00FC48E8">
        <w:t>the type of expenses that can be covered</w:t>
      </w:r>
      <w:r w:rsidR="008957C0">
        <w:t xml:space="preserve">.  In addition, each student that received an award received instructions on how the funds can be used in an email.  </w:t>
      </w:r>
      <w:r w:rsidR="00615BEC">
        <w:t>The language in the email to students now includes language that is reflective of the allowable expense language under CRRSAA</w:t>
      </w:r>
      <w:r w:rsidR="00432538">
        <w:t xml:space="preserve"> and ARPA</w:t>
      </w:r>
      <w:r w:rsidR="00615BEC">
        <w:t xml:space="preserve">:  Eligible Expenses for the student emergency aid portion include any component of the student’s cost of attendance or for emergency costs that arise due to coronavirus, such as tuition, food, housing, health care (including mental health care), or childcare.  </w:t>
      </w:r>
    </w:p>
    <w:p w:rsidR="007D3C2E" w:rsidRDefault="007D3C2E" w:rsidP="000C415B">
      <w:pPr>
        <w:jc w:val="both"/>
        <w:rPr>
          <w:b/>
          <w:i/>
        </w:rPr>
      </w:pPr>
    </w:p>
    <w:p w:rsidR="00540754" w:rsidRDefault="00152F23" w:rsidP="000C415B">
      <w:pPr>
        <w:jc w:val="both"/>
        <w:rPr>
          <w:b/>
          <w:i/>
        </w:rPr>
      </w:pPr>
      <w:r w:rsidRPr="00152F23">
        <w:rPr>
          <w:b/>
          <w:i/>
        </w:rPr>
        <w:t>Report Submission Requirements</w:t>
      </w:r>
    </w:p>
    <w:p w:rsidR="0017056D" w:rsidRPr="00152F23" w:rsidRDefault="005E447F" w:rsidP="000C415B">
      <w:pPr>
        <w:jc w:val="both"/>
      </w:pPr>
      <w:r>
        <w:t xml:space="preserve">The initial report </w:t>
      </w:r>
      <w:r w:rsidR="00E74602">
        <w:t>for this grant was posted on the university’s website on May 26, 2020</w:t>
      </w:r>
      <w:r w:rsidR="007F6B14">
        <w:t xml:space="preserve"> with the first follow-up report 45 days after the date of the initial report (July 10, 2020)</w:t>
      </w:r>
      <w:r w:rsidR="00A0472E">
        <w:t xml:space="preserve"> and</w:t>
      </w:r>
      <w:r w:rsidR="00152F23">
        <w:t xml:space="preserve"> the </w:t>
      </w:r>
      <w:r w:rsidR="007F6B14">
        <w:t>second</w:t>
      </w:r>
      <w:r w:rsidR="00E74602">
        <w:t xml:space="preserve"> follow-up report 45 days </w:t>
      </w:r>
      <w:r w:rsidR="007F6B14">
        <w:t>later</w:t>
      </w:r>
      <w:r w:rsidR="00A0472E">
        <w:t xml:space="preserve"> (dated August 24, 2020)</w:t>
      </w:r>
      <w:r w:rsidR="00E74602">
        <w:t>, as required</w:t>
      </w:r>
      <w:r w:rsidR="00152F23">
        <w:t xml:space="preserve"> by the US Department of Education.  </w:t>
      </w:r>
      <w:r w:rsidR="0017056D">
        <w:t xml:space="preserve">Reports are now required to be posted within 10 days of the quarter end.  This report satisfies the requirement for the quarter ended </w:t>
      </w:r>
      <w:r w:rsidR="00C23EDA">
        <w:t>9</w:t>
      </w:r>
      <w:r w:rsidR="006446F1">
        <w:t>/30</w:t>
      </w:r>
      <w:r w:rsidR="0014425C">
        <w:t>/2</w:t>
      </w:r>
      <w:r w:rsidR="001568C6">
        <w:t>1</w:t>
      </w:r>
      <w:r w:rsidR="0017056D">
        <w:t>.</w:t>
      </w:r>
    </w:p>
    <w:p w:rsidR="00152F23" w:rsidRDefault="00152F23" w:rsidP="000C415B">
      <w:pPr>
        <w:jc w:val="both"/>
      </w:pPr>
      <w:bookmarkStart w:id="1" w:name="_GoBack"/>
      <w:bookmarkEnd w:id="1"/>
    </w:p>
    <w:sectPr w:rsidR="00152F23" w:rsidSect="000C415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54"/>
    <w:rsid w:val="0006398D"/>
    <w:rsid w:val="000C415B"/>
    <w:rsid w:val="0013492F"/>
    <w:rsid w:val="00143691"/>
    <w:rsid w:val="0014425C"/>
    <w:rsid w:val="00152F23"/>
    <w:rsid w:val="001568C6"/>
    <w:rsid w:val="0017056D"/>
    <w:rsid w:val="001774E8"/>
    <w:rsid w:val="001D59B0"/>
    <w:rsid w:val="001E7CB3"/>
    <w:rsid w:val="002E7276"/>
    <w:rsid w:val="00432538"/>
    <w:rsid w:val="0044545F"/>
    <w:rsid w:val="00540754"/>
    <w:rsid w:val="005E447F"/>
    <w:rsid w:val="00615BEC"/>
    <w:rsid w:val="00616D56"/>
    <w:rsid w:val="00637AEB"/>
    <w:rsid w:val="006423BF"/>
    <w:rsid w:val="006446F1"/>
    <w:rsid w:val="00740D49"/>
    <w:rsid w:val="007D3C2E"/>
    <w:rsid w:val="007F6B14"/>
    <w:rsid w:val="008957C0"/>
    <w:rsid w:val="008C70AE"/>
    <w:rsid w:val="009B1242"/>
    <w:rsid w:val="00A0472E"/>
    <w:rsid w:val="00A14510"/>
    <w:rsid w:val="00A53B43"/>
    <w:rsid w:val="00AC647B"/>
    <w:rsid w:val="00AD031C"/>
    <w:rsid w:val="00B118BB"/>
    <w:rsid w:val="00B86097"/>
    <w:rsid w:val="00B93BDE"/>
    <w:rsid w:val="00BA2818"/>
    <w:rsid w:val="00BA7723"/>
    <w:rsid w:val="00BD2CCB"/>
    <w:rsid w:val="00C23EDA"/>
    <w:rsid w:val="00CA566C"/>
    <w:rsid w:val="00D53548"/>
    <w:rsid w:val="00DC2A3B"/>
    <w:rsid w:val="00DE3769"/>
    <w:rsid w:val="00E74602"/>
    <w:rsid w:val="00F4674E"/>
    <w:rsid w:val="00F575D4"/>
    <w:rsid w:val="00FC4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E977B"/>
  <w15:chartTrackingRefBased/>
  <w15:docId w15:val="{D5CE6309-B2B1-44B6-A682-B40D6A79A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385105">
      <w:bodyDiv w:val="1"/>
      <w:marLeft w:val="0"/>
      <w:marRight w:val="0"/>
      <w:marTop w:val="0"/>
      <w:marBottom w:val="0"/>
      <w:divBdr>
        <w:top w:val="none" w:sz="0" w:space="0" w:color="auto"/>
        <w:left w:val="none" w:sz="0" w:space="0" w:color="auto"/>
        <w:bottom w:val="none" w:sz="0" w:space="0" w:color="auto"/>
        <w:right w:val="none" w:sz="0" w:space="0" w:color="auto"/>
      </w:divBdr>
    </w:div>
    <w:div w:id="189014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Mississippi College</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Jackson</dc:creator>
  <cp:keywords/>
  <dc:description/>
  <cp:lastModifiedBy>Ebby Dedeaux</cp:lastModifiedBy>
  <cp:revision>3</cp:revision>
  <cp:lastPrinted>2020-10-09T20:22:00Z</cp:lastPrinted>
  <dcterms:created xsi:type="dcterms:W3CDTF">2021-09-28T16:13:00Z</dcterms:created>
  <dcterms:modified xsi:type="dcterms:W3CDTF">2021-09-28T16:27:00Z</dcterms:modified>
</cp:coreProperties>
</file>